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35E49" w14:textId="488881EC" w:rsidR="001A1B98" w:rsidRDefault="000A1ADF" w:rsidP="001A1B98">
      <w:r>
        <w:rPr>
          <w:noProof/>
        </w:rPr>
        <w:drawing>
          <wp:inline distT="0" distB="0" distL="0" distR="0" wp14:anchorId="2FF008DE" wp14:editId="1AC946CE">
            <wp:extent cx="1539240" cy="1442432"/>
            <wp:effectExtent l="0" t="0" r="3810" b="5715"/>
            <wp:docPr id="2" name="Picture 2" descr="St Joseph’s Catholic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Joseph’s Catholic Academ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15" cy="145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A1B98">
        <w:tab/>
      </w:r>
      <w:r w:rsidR="001A1B98">
        <w:tab/>
      </w:r>
      <w:r w:rsidR="001A1B98">
        <w:tab/>
      </w:r>
      <w:r w:rsidR="001A1B98">
        <w:tab/>
      </w:r>
      <w:r w:rsidR="001A1B98">
        <w:tab/>
      </w:r>
      <w:r w:rsidR="001A1B98">
        <w:tab/>
      </w:r>
      <w:r w:rsidR="001A1B98">
        <w:rPr>
          <w:noProof/>
        </w:rPr>
        <w:drawing>
          <wp:inline distT="0" distB="0" distL="0" distR="0" wp14:anchorId="067B4894" wp14:editId="429C0EDC">
            <wp:extent cx="170497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ET-StackedLogo-WithoutNa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1A4CB" w14:textId="0EA222B4" w:rsidR="00184AC8" w:rsidRPr="00800204" w:rsidRDefault="007272EF" w:rsidP="001A1B98">
      <w:pPr>
        <w:jc w:val="center"/>
        <w:rPr>
          <w:b/>
        </w:rPr>
      </w:pPr>
      <w:r>
        <w:rPr>
          <w:b/>
        </w:rPr>
        <w:t>St Joseph’s</w:t>
      </w:r>
      <w:r w:rsidR="005D1E5D">
        <w:rPr>
          <w:b/>
        </w:rPr>
        <w:t xml:space="preserve"> Catholic Academy</w:t>
      </w:r>
    </w:p>
    <w:p w14:paraId="679476C1" w14:textId="234D0277" w:rsidR="001A1B98" w:rsidRDefault="001A1B98" w:rsidP="001A1B98">
      <w:pPr>
        <w:jc w:val="center"/>
      </w:pPr>
    </w:p>
    <w:p w14:paraId="5C644627" w14:textId="7C89CC50" w:rsidR="001A1B98" w:rsidRPr="001A1B98" w:rsidRDefault="001A1B98" w:rsidP="001A1B98">
      <w:pPr>
        <w:jc w:val="center"/>
        <w:rPr>
          <w:b/>
        </w:rPr>
      </w:pPr>
      <w:r w:rsidRPr="001A1B98">
        <w:rPr>
          <w:b/>
        </w:rPr>
        <w:t>Summer School 2021 Statement</w:t>
      </w:r>
    </w:p>
    <w:p w14:paraId="4D700A34" w14:textId="5E445185" w:rsidR="001A1B98" w:rsidRDefault="001A1B98" w:rsidP="001A1B98">
      <w:pPr>
        <w:jc w:val="center"/>
      </w:pPr>
    </w:p>
    <w:p w14:paraId="725DB03D" w14:textId="0A34DF8C" w:rsidR="001A1B98" w:rsidRDefault="001A1B98" w:rsidP="001A1B98">
      <w:pPr>
        <w:jc w:val="both"/>
      </w:pPr>
      <w:r>
        <w:t>During the 2021 summer holidays, the pupils entering Year 7 in September 2021 were invited to attend the academy’s Summer School</w:t>
      </w:r>
      <w:r w:rsidR="00E46F83">
        <w:t>.  Over the course of 5 days, pupils engaged in a number of c</w:t>
      </w:r>
      <w:r>
        <w:t xml:space="preserve">arefully planned activities </w:t>
      </w:r>
      <w:r w:rsidR="00E46F83">
        <w:t xml:space="preserve">designed to </w:t>
      </w:r>
      <w:r>
        <w:t>support</w:t>
      </w:r>
      <w:r w:rsidR="00E46F83">
        <w:t xml:space="preserve"> them in </w:t>
      </w:r>
      <w:r>
        <w:t xml:space="preserve">transitioning to Secondary School, </w:t>
      </w:r>
      <w:r w:rsidR="00E46F83">
        <w:t>allowing them</w:t>
      </w:r>
      <w:r>
        <w:t xml:space="preserve"> to familiarise themselves with the school environment and the staff who will support them</w:t>
      </w:r>
      <w:r w:rsidR="00E46F83">
        <w:t xml:space="preserve"> from September 2021</w:t>
      </w:r>
      <w:r>
        <w:t>, and to allow ‘catch-up’ activities particularly in English, Maths and Science.</w:t>
      </w:r>
    </w:p>
    <w:p w14:paraId="0E620D7D" w14:textId="48F0C32B" w:rsidR="001A1B98" w:rsidRDefault="00E46F83" w:rsidP="001A1B98">
      <w:pPr>
        <w:jc w:val="both"/>
      </w:pPr>
      <w:r>
        <w:t xml:space="preserve">Pupils </w:t>
      </w:r>
      <w:r w:rsidR="001A1B98">
        <w:t xml:space="preserve">took part in a wide range of </w:t>
      </w:r>
      <w:r>
        <w:t>a</w:t>
      </w:r>
      <w:r w:rsidR="001A1B98">
        <w:t xml:space="preserve">ctivities including; </w:t>
      </w:r>
      <w:r w:rsidR="007272EF" w:rsidRPr="007272EF">
        <w:t>First aid training, Ukulele lessons, Duke of Edinburgh taster sessions, robot building and programming</w:t>
      </w:r>
      <w:r w:rsidR="007272EF">
        <w:t xml:space="preserve"> and</w:t>
      </w:r>
      <w:r w:rsidR="007272EF" w:rsidRPr="007272EF">
        <w:t xml:space="preserve"> Spiritual mission events</w:t>
      </w:r>
      <w:r>
        <w:t xml:space="preserve">.  In delivering </w:t>
      </w:r>
      <w:r w:rsidR="007272EF">
        <w:t>these activities</w:t>
      </w:r>
      <w:r>
        <w:t xml:space="preserve">, the academy was supported by </w:t>
      </w:r>
      <w:r w:rsidR="007272EF">
        <w:t>a range of qualified teaching staff and support staff including the SENCO and first aider.</w:t>
      </w:r>
    </w:p>
    <w:p w14:paraId="6210F044" w14:textId="76A61E65" w:rsidR="00E46F83" w:rsidRDefault="00E46F83" w:rsidP="001A1B98">
      <w:pPr>
        <w:jc w:val="both"/>
      </w:pPr>
      <w:bookmarkStart w:id="0" w:name="_GoBack"/>
      <w:bookmarkEnd w:id="0"/>
    </w:p>
    <w:p w14:paraId="7DF832FB" w14:textId="002ADEEE" w:rsidR="001A1B98" w:rsidRDefault="001A1B98" w:rsidP="001A1B98">
      <w:pPr>
        <w:jc w:val="both"/>
      </w:pPr>
    </w:p>
    <w:p w14:paraId="45C51400" w14:textId="11607B4F" w:rsidR="001A1B98" w:rsidRDefault="001A1B98" w:rsidP="001A1B98">
      <w:pPr>
        <w:jc w:val="both"/>
      </w:pPr>
    </w:p>
    <w:p w14:paraId="3D674A8F" w14:textId="6A3B77BC" w:rsidR="001A1B98" w:rsidRPr="001A1B98" w:rsidRDefault="001A1B98">
      <w:pPr>
        <w:rPr>
          <w:b/>
        </w:rPr>
      </w:pPr>
      <w:r w:rsidRPr="001A1B98">
        <w:rPr>
          <w:b/>
        </w:rPr>
        <w:t>Funding breakdown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2410"/>
      </w:tblGrid>
      <w:tr w:rsidR="001A1B98" w:rsidRPr="000A1ADF" w14:paraId="3AAFEF72" w14:textId="77777777" w:rsidTr="001A1B98">
        <w:tc>
          <w:tcPr>
            <w:tcW w:w="4956" w:type="dxa"/>
          </w:tcPr>
          <w:p w14:paraId="598EAE55" w14:textId="2ECB742B" w:rsidR="001A1B98" w:rsidRDefault="001A1B98">
            <w:r>
              <w:t>Summer school grant allocation</w:t>
            </w:r>
          </w:p>
        </w:tc>
        <w:tc>
          <w:tcPr>
            <w:tcW w:w="2410" w:type="dxa"/>
          </w:tcPr>
          <w:p w14:paraId="51C2D69C" w14:textId="1EEBC5FC" w:rsidR="001A1B98" w:rsidRPr="000A1ADF" w:rsidRDefault="001A1B98" w:rsidP="001A1B98">
            <w:pPr>
              <w:jc w:val="right"/>
              <w:rPr>
                <w:highlight w:val="yellow"/>
              </w:rPr>
            </w:pPr>
            <w:r w:rsidRPr="000A1ADF">
              <w:rPr>
                <w:highlight w:val="yellow"/>
              </w:rPr>
              <w:t>£</w:t>
            </w:r>
            <w:r w:rsidR="000A1ADF" w:rsidRPr="000A1ADF">
              <w:rPr>
                <w:rFonts w:ascii="Helvetica" w:hAnsi="Helvetica" w:cs="Helvetica"/>
                <w:color w:val="000000"/>
                <w:sz w:val="20"/>
                <w:szCs w:val="20"/>
                <w:highlight w:val="yellow"/>
                <w:shd w:val="clear" w:color="auto" w:fill="FFFFFF"/>
              </w:rPr>
              <w:t>30805.2</w:t>
            </w:r>
          </w:p>
        </w:tc>
      </w:tr>
      <w:tr w:rsidR="001A1B98" w14:paraId="5EAA859F" w14:textId="77777777" w:rsidTr="001A1B98">
        <w:tc>
          <w:tcPr>
            <w:tcW w:w="4956" w:type="dxa"/>
          </w:tcPr>
          <w:p w14:paraId="0A81BAEA" w14:textId="77777777" w:rsidR="001A1B98" w:rsidRDefault="001A1B98"/>
        </w:tc>
        <w:tc>
          <w:tcPr>
            <w:tcW w:w="2410" w:type="dxa"/>
          </w:tcPr>
          <w:p w14:paraId="2DEC55F6" w14:textId="77777777" w:rsidR="001A1B98" w:rsidRDefault="001A1B98" w:rsidP="001A1B98">
            <w:pPr>
              <w:jc w:val="right"/>
            </w:pPr>
          </w:p>
        </w:tc>
      </w:tr>
      <w:tr w:rsidR="001A1B98" w14:paraId="342CEA5A" w14:textId="77777777" w:rsidTr="001A1B98">
        <w:tc>
          <w:tcPr>
            <w:tcW w:w="4956" w:type="dxa"/>
          </w:tcPr>
          <w:p w14:paraId="4ED51AFF" w14:textId="270596D9" w:rsidR="001A1B98" w:rsidRDefault="001A1B98">
            <w:r>
              <w:t>Staffing costs</w:t>
            </w:r>
          </w:p>
        </w:tc>
        <w:tc>
          <w:tcPr>
            <w:tcW w:w="2410" w:type="dxa"/>
          </w:tcPr>
          <w:p w14:paraId="60799A9A" w14:textId="393436F6" w:rsidR="001A1B98" w:rsidRDefault="001A1B98" w:rsidP="001A1B98">
            <w:pPr>
              <w:jc w:val="right"/>
            </w:pPr>
            <w:r>
              <w:t>£</w:t>
            </w:r>
            <w:r w:rsidR="007272EF">
              <w:t>17,211.43</w:t>
            </w:r>
          </w:p>
        </w:tc>
      </w:tr>
      <w:tr w:rsidR="001A1B98" w14:paraId="05C8300B" w14:textId="77777777" w:rsidTr="001A1B98">
        <w:tc>
          <w:tcPr>
            <w:tcW w:w="4956" w:type="dxa"/>
          </w:tcPr>
          <w:p w14:paraId="429CEDBB" w14:textId="3F9DBCE0" w:rsidR="001A1B98" w:rsidRDefault="001A1B98">
            <w:r>
              <w:t>Catering costs</w:t>
            </w:r>
          </w:p>
        </w:tc>
        <w:tc>
          <w:tcPr>
            <w:tcW w:w="2410" w:type="dxa"/>
          </w:tcPr>
          <w:p w14:paraId="1958FBFF" w14:textId="0EC86171" w:rsidR="001A1B98" w:rsidRDefault="001A1B98" w:rsidP="001A1B98">
            <w:pPr>
              <w:jc w:val="right"/>
            </w:pPr>
            <w:r>
              <w:t>£</w:t>
            </w:r>
            <w:r w:rsidR="007272EF">
              <w:t>786.65</w:t>
            </w:r>
          </w:p>
        </w:tc>
      </w:tr>
      <w:tr w:rsidR="001A1B98" w14:paraId="0D4F1F07" w14:textId="77777777" w:rsidTr="001A1B98">
        <w:tc>
          <w:tcPr>
            <w:tcW w:w="4956" w:type="dxa"/>
          </w:tcPr>
          <w:p w14:paraId="0AAF7BE0" w14:textId="5AC7AF32" w:rsidR="001A1B98" w:rsidRDefault="001A1B98">
            <w:r>
              <w:t>Resources*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92FE41F" w14:textId="1397C9C3" w:rsidR="001A1B98" w:rsidRDefault="001A1B98" w:rsidP="001A1B98">
            <w:pPr>
              <w:jc w:val="right"/>
            </w:pPr>
            <w:r>
              <w:t>£</w:t>
            </w:r>
            <w:r w:rsidR="007272EF">
              <w:t>1267.86</w:t>
            </w:r>
          </w:p>
        </w:tc>
      </w:tr>
      <w:tr w:rsidR="001A1B98" w14:paraId="44FBA7C9" w14:textId="77777777" w:rsidTr="001A1B98">
        <w:tc>
          <w:tcPr>
            <w:tcW w:w="4956" w:type="dxa"/>
          </w:tcPr>
          <w:p w14:paraId="6482D559" w14:textId="11255E8C" w:rsidR="001A1B98" w:rsidRDefault="001A1B98">
            <w:r>
              <w:t>Total expenditure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A3F99CB" w14:textId="6ECF1FC8" w:rsidR="001A1B98" w:rsidRDefault="001A1B98" w:rsidP="001A1B98">
            <w:pPr>
              <w:jc w:val="right"/>
            </w:pPr>
            <w:r>
              <w:t>£</w:t>
            </w:r>
            <w:r w:rsidR="007272EF">
              <w:t>19265.94</w:t>
            </w:r>
          </w:p>
        </w:tc>
      </w:tr>
    </w:tbl>
    <w:p w14:paraId="066D4D6E" w14:textId="2A40182E" w:rsidR="001A1B98" w:rsidRDefault="001A1B98"/>
    <w:p w14:paraId="77EC5E6C" w14:textId="4214E061" w:rsidR="001A1B98" w:rsidRDefault="001A1B98">
      <w:r>
        <w:t>*Resources includes both physical resources purchased to facilitate the summer school sessions, and the costs associated with 3</w:t>
      </w:r>
      <w:r w:rsidRPr="001A1B98">
        <w:rPr>
          <w:vertAlign w:val="superscript"/>
        </w:rPr>
        <w:t>rd</w:t>
      </w:r>
      <w:r>
        <w:t xml:space="preserve"> party providers who were engaged to facilitate sessions.</w:t>
      </w:r>
    </w:p>
    <w:sectPr w:rsidR="001A1B98" w:rsidSect="001A1B98">
      <w:pgSz w:w="11906" w:h="16838" w:code="9"/>
      <w:pgMar w:top="1440" w:right="849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E1"/>
    <w:rsid w:val="00006A28"/>
    <w:rsid w:val="000A1ADF"/>
    <w:rsid w:val="00184AC8"/>
    <w:rsid w:val="001A1B98"/>
    <w:rsid w:val="002A59F1"/>
    <w:rsid w:val="00482FEC"/>
    <w:rsid w:val="005B4BE1"/>
    <w:rsid w:val="005D1E5D"/>
    <w:rsid w:val="007272EF"/>
    <w:rsid w:val="00800204"/>
    <w:rsid w:val="00E4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3CA89"/>
  <w15:chartTrackingRefBased/>
  <w15:docId w15:val="{08A2226E-1D03-4F81-A0F1-9DB79E40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1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B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B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8A7A0D5AED54DB6607F33662898BB" ma:contentTypeVersion="12" ma:contentTypeDescription="Create a new document." ma:contentTypeScope="" ma:versionID="09550b33e51ae1bcc3d2550fdb70d804">
  <xsd:schema xmlns:xsd="http://www.w3.org/2001/XMLSchema" xmlns:xs="http://www.w3.org/2001/XMLSchema" xmlns:p="http://schemas.microsoft.com/office/2006/metadata/properties" xmlns:ns3="a0683da2-43c7-4226-85a1-c14ad2f109f6" xmlns:ns4="0754ceb5-5b4d-4d18-b5d6-c46f35396d26" targetNamespace="http://schemas.microsoft.com/office/2006/metadata/properties" ma:root="true" ma:fieldsID="27741560786ac87fd30529f68f853c8b" ns3:_="" ns4:_="">
    <xsd:import namespace="a0683da2-43c7-4226-85a1-c14ad2f109f6"/>
    <xsd:import namespace="0754ceb5-5b4d-4d18-b5d6-c46f35396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83da2-43c7-4226-85a1-c14ad2f10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4ceb5-5b4d-4d18-b5d6-c46f35396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F2B6C-0B09-4638-9DF0-745A193A5FB2}">
  <ds:schemaRefs>
    <ds:schemaRef ds:uri="http://purl.org/dc/terms/"/>
    <ds:schemaRef ds:uri="http://purl.org/dc/dcmitype/"/>
    <ds:schemaRef ds:uri="a0683da2-43c7-4226-85a1-c14ad2f109f6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0754ceb5-5b4d-4d18-b5d6-c46f35396d26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6F61A2-919F-4797-8BF9-8623B6E32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83da2-43c7-4226-85a1-c14ad2f109f6"/>
    <ds:schemaRef ds:uri="0754ceb5-5b4d-4d18-b5d6-c46f35396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3AB5A9-FC24-4C52-84CE-29CC23553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Hope</dc:creator>
  <cp:keywords/>
  <dc:description/>
  <cp:lastModifiedBy>Victoria Henry</cp:lastModifiedBy>
  <cp:revision>2</cp:revision>
  <dcterms:created xsi:type="dcterms:W3CDTF">2021-11-04T08:15:00Z</dcterms:created>
  <dcterms:modified xsi:type="dcterms:W3CDTF">2021-11-04T08:15:00Z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0x010100EF88A7A0D5AED54DB6607F33662898BB</vt:lpwstr>
  </property>
</Properties>
</file>