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sz w:val="22"/>
          <w:szCs w:val="22"/>
        </w:rPr>
      </w:pPr>
    </w:p>
    <w:p>
      <w:pPr>
        <w:rPr>
          <w:rFonts w:ascii="Calibri" w:eastAsia="Calibri" w:hAnsi="Calibri" w:cs="Calibri"/>
        </w:rPr>
      </w:pPr>
    </w:p>
    <w:p>
      <w:pPr>
        <w:rPr>
          <w:rFonts w:ascii="Calibri" w:eastAsia="Calibri" w:hAnsi="Calibri" w:cs="Calibri"/>
        </w:rPr>
      </w:pPr>
      <w:r>
        <w:rPr>
          <w:rFonts w:ascii="Calibri" w:eastAsia="Calibri" w:hAnsi="Calibri" w:cs="Calibri"/>
        </w:rPr>
        <w:t>Dear Year 13 students and Parents/Carers,</w:t>
      </w:r>
    </w:p>
    <w:p>
      <w:pPr>
        <w:rPr>
          <w:rFonts w:ascii="Calibri" w:eastAsia="Calibri" w:hAnsi="Calibri" w:cs="Calibri"/>
        </w:rPr>
      </w:pPr>
    </w:p>
    <w:p>
      <w:pPr>
        <w:shd w:val="clear" w:color="auto" w:fill="FFFFFF"/>
        <w:spacing w:after="300"/>
        <w:rPr>
          <w:rFonts w:ascii="Calibri" w:eastAsia="Calibri" w:hAnsi="Calibri" w:cs="Calibri"/>
          <w:color w:val="494949"/>
        </w:rPr>
      </w:pPr>
      <w:r>
        <w:rPr>
          <w:rFonts w:ascii="Calibri" w:eastAsia="Calibri" w:hAnsi="Calibri" w:cs="Calibri"/>
          <w:color w:val="494949"/>
        </w:rPr>
        <w:t>I am writing to confirm the arrangements for the collection of this summer’s Yr13 exam results. Students will be able to collect their statement of results at the following date and time:</w:t>
      </w:r>
    </w:p>
    <w:tbl>
      <w:tblPr>
        <w:tblStyle w:val="a"/>
        <w:tblW w:w="7505" w:type="dxa"/>
        <w:tblBorders>
          <w:top w:val="single" w:sz="6" w:space="0" w:color="DCDCDC"/>
          <w:left w:val="single" w:sz="6" w:space="0" w:color="DCDCDC"/>
          <w:bottom w:val="single" w:sz="6" w:space="0" w:color="DCDCDC"/>
          <w:right w:val="single" w:sz="6" w:space="0" w:color="DCDCDC"/>
        </w:tblBorders>
        <w:tblLayout w:type="fixed"/>
        <w:tblLook w:val="0400" w:firstRow="0" w:lastRow="0" w:firstColumn="0" w:lastColumn="0" w:noHBand="0" w:noVBand="1"/>
      </w:tblPr>
      <w:tblGrid>
        <w:gridCol w:w="1134"/>
        <w:gridCol w:w="6371"/>
      </w:tblGrid>
      <w:tr>
        <w:trPr>
          <w:trHeight w:val="15"/>
        </w:trPr>
        <w:tc>
          <w:tcPr>
            <w:tcW w:w="1134" w:type="dxa"/>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tcPr>
          <w:p>
            <w:pPr>
              <w:rPr>
                <w:rFonts w:ascii="Calibri" w:eastAsia="Calibri" w:hAnsi="Calibri" w:cs="Calibri"/>
              </w:rPr>
            </w:pPr>
            <w:r>
              <w:rPr>
                <w:rFonts w:ascii="Calibri" w:eastAsia="Calibri" w:hAnsi="Calibri" w:cs="Calibri"/>
                <w:b/>
              </w:rPr>
              <w:t>Date</w:t>
            </w:r>
          </w:p>
        </w:tc>
        <w:tc>
          <w:tcPr>
            <w:tcW w:w="6371" w:type="dxa"/>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tcPr>
          <w:p>
            <w:pPr>
              <w:rPr>
                <w:rFonts w:ascii="Calibri" w:eastAsia="Calibri" w:hAnsi="Calibri" w:cs="Calibri"/>
              </w:rPr>
            </w:pPr>
            <w:r>
              <w:rPr>
                <w:rFonts w:ascii="Calibri" w:eastAsia="Calibri" w:hAnsi="Calibri" w:cs="Calibri"/>
              </w:rPr>
              <w:t>Tuesday 10th August 2021</w:t>
            </w:r>
          </w:p>
        </w:tc>
      </w:tr>
      <w:tr>
        <w:trPr>
          <w:trHeight w:val="162"/>
        </w:trPr>
        <w:tc>
          <w:tcPr>
            <w:tcW w:w="1134" w:type="dxa"/>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tcPr>
          <w:p>
            <w:pPr>
              <w:rPr>
                <w:rFonts w:ascii="Calibri" w:eastAsia="Calibri" w:hAnsi="Calibri" w:cs="Calibri"/>
              </w:rPr>
            </w:pPr>
            <w:r>
              <w:rPr>
                <w:rFonts w:ascii="Calibri" w:eastAsia="Calibri" w:hAnsi="Calibri" w:cs="Calibri"/>
                <w:b/>
              </w:rPr>
              <w:t>Time</w:t>
            </w:r>
          </w:p>
        </w:tc>
        <w:tc>
          <w:tcPr>
            <w:tcW w:w="6371" w:type="dxa"/>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tcPr>
          <w:p>
            <w:pPr>
              <w:rPr>
                <w:rFonts w:ascii="Calibri" w:eastAsia="Calibri" w:hAnsi="Calibri" w:cs="Calibri"/>
              </w:rPr>
            </w:pPr>
            <w:r>
              <w:rPr>
                <w:rFonts w:ascii="Calibri" w:eastAsia="Calibri" w:hAnsi="Calibri" w:cs="Calibri"/>
              </w:rPr>
              <w:t>8.30 am to 11.30 am</w:t>
            </w:r>
          </w:p>
        </w:tc>
      </w:tr>
    </w:tbl>
    <w:p>
      <w:pPr>
        <w:rPr>
          <w:rFonts w:ascii="Calibri" w:eastAsia="Calibri" w:hAnsi="Calibri" w:cs="Calibri"/>
        </w:rPr>
      </w:pPr>
    </w:p>
    <w:p>
      <w:pPr>
        <w:rPr>
          <w:rFonts w:ascii="Calibri" w:eastAsia="Calibri" w:hAnsi="Calibri" w:cs="Calibri"/>
        </w:rPr>
      </w:pPr>
      <w:r>
        <w:rPr>
          <w:rFonts w:ascii="Calibri" w:eastAsia="Calibri" w:hAnsi="Calibri" w:cs="Calibri"/>
        </w:rPr>
        <w:t xml:space="preserve">If students cannot collect their results in person then results will be posted home. If students want someone else to collect the results on their behalf, this must be requested in writing to the Exams Office at least one week prior to results day. We are sorry but results cannot be given out over the telephone in any circumstances. </w:t>
      </w:r>
    </w:p>
    <w:p>
      <w:pPr>
        <w:rPr>
          <w:rFonts w:ascii="Calibri" w:eastAsia="Calibri" w:hAnsi="Calibri" w:cs="Calibri"/>
        </w:rPr>
      </w:pPr>
    </w:p>
    <w:p>
      <w:pPr>
        <w:rPr>
          <w:rFonts w:ascii="Calibri" w:eastAsia="Calibri" w:hAnsi="Calibri" w:cs="Calibri"/>
          <w:b/>
          <w:u w:val="single"/>
        </w:rPr>
      </w:pPr>
      <w:r>
        <w:rPr>
          <w:rFonts w:ascii="Calibri" w:eastAsia="Calibri" w:hAnsi="Calibri" w:cs="Calibri"/>
          <w:b/>
          <w:u w:val="single"/>
        </w:rPr>
        <w:t>Exam results and Appeals</w:t>
      </w:r>
    </w:p>
    <w:p>
      <w:pPr>
        <w:rPr>
          <w:rFonts w:ascii="Calibri" w:eastAsia="Calibri" w:hAnsi="Calibri" w:cs="Calibri"/>
          <w:b/>
          <w:u w:val="single"/>
        </w:rPr>
      </w:pPr>
    </w:p>
    <w:p>
      <w:pPr>
        <w:rPr>
          <w:rFonts w:ascii="Calibri" w:eastAsia="Calibri" w:hAnsi="Calibri" w:cs="Calibri"/>
        </w:rPr>
      </w:pPr>
      <w:r>
        <w:rPr>
          <w:rFonts w:ascii="Calibri" w:eastAsia="Calibri" w:hAnsi="Calibri" w:cs="Calibri"/>
        </w:rPr>
        <w:t>We anticipate that appeals will apply to very few pupils, if any, because of the strict process we have adhered to; we do hope that the following information puts your mind at ease and that your child has confidence in the grades awarded.</w:t>
      </w:r>
    </w:p>
    <w:p>
      <w:pPr>
        <w:rPr>
          <w:rFonts w:ascii="Calibri" w:eastAsia="Calibri" w:hAnsi="Calibri" w:cs="Calibri"/>
        </w:rPr>
      </w:pPr>
    </w:p>
    <w:p>
      <w:pPr>
        <w:shd w:val="clear" w:color="auto" w:fill="FFFFFF"/>
        <w:rPr>
          <w:rFonts w:ascii="Calibri" w:eastAsia="Calibri" w:hAnsi="Calibri" w:cs="Calibri"/>
          <w:sz w:val="22"/>
          <w:szCs w:val="22"/>
        </w:rPr>
      </w:pPr>
      <w:r>
        <w:rPr>
          <w:rFonts w:ascii="Calibri" w:eastAsia="Calibri" w:hAnsi="Calibri" w:cs="Calibri"/>
          <w:b/>
          <w:sz w:val="22"/>
          <w:szCs w:val="22"/>
        </w:rPr>
        <w:t>How were my / my child’s grades arrived at this year?</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Grades this summer were based on Teacher Assessed Grades (TAGs). TAGs were submitted to the exam boards by us as a holistic assessment of students’ performance in a subject, following a rigorous process of assessment, moderation and quality assurance.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These grades were then approved by the relevant exam board, following external quality assurance checks. </w:t>
      </w:r>
    </w:p>
    <w:p>
      <w:pPr>
        <w:shd w:val="clear" w:color="auto" w:fill="FFFFFF"/>
        <w:rPr>
          <w:rFonts w:ascii="Calibri" w:eastAsia="Calibri" w:hAnsi="Calibri" w:cs="Calibri"/>
          <w:sz w:val="22"/>
          <w:szCs w:val="22"/>
        </w:rPr>
      </w:pPr>
      <w:r>
        <w:rPr>
          <w:rFonts w:ascii="Calibri" w:eastAsia="Calibri" w:hAnsi="Calibri" w:cs="Calibri"/>
          <w:sz w:val="22"/>
          <w:szCs w:val="22"/>
        </w:rPr>
        <w:t xml:space="preserve">In some cases, the TAGs we submitted may have been reviewed by the exam board, who may have asked us to submit an alternative grade. However, any changes to the grades we submitted were done by professional teachers or reviewers; this year no grades have been changed as a result of an algorithm. </w:t>
      </w:r>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b/>
          <w:sz w:val="22"/>
          <w:szCs w:val="22"/>
        </w:rPr>
        <w:t>What do I do if I’m not happy with my / my child’s grade?</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All students have the opportunity to appeal their grade if they meet the eligibility criteria (see below). It is important to note that an appeal may result in a grade being lowered, staying the same, or going up. </w:t>
      </w:r>
      <w:proofErr w:type="gramStart"/>
      <w:r>
        <w:rPr>
          <w:rFonts w:ascii="Calibri" w:eastAsia="Calibri" w:hAnsi="Calibri" w:cs="Calibri"/>
          <w:sz w:val="22"/>
          <w:szCs w:val="22"/>
        </w:rPr>
        <w:t>So</w:t>
      </w:r>
      <w:proofErr w:type="gramEnd"/>
      <w:r>
        <w:rPr>
          <w:rFonts w:ascii="Calibri" w:eastAsia="Calibri" w:hAnsi="Calibri" w:cs="Calibri"/>
          <w:sz w:val="22"/>
          <w:szCs w:val="22"/>
        </w:rPr>
        <w:t xml:space="preserve"> if a student puts in an appeal and their grade is lowered, they will receive the lower mark. </w:t>
      </w:r>
    </w:p>
    <w:p>
      <w:pPr>
        <w:shd w:val="clear" w:color="auto" w:fill="FFFFFF"/>
        <w:rPr>
          <w:rFonts w:ascii="Calibri" w:eastAsia="Calibri" w:hAnsi="Calibri" w:cs="Calibri"/>
          <w:sz w:val="22"/>
          <w:szCs w:val="22"/>
        </w:rPr>
      </w:pPr>
      <w:r>
        <w:rPr>
          <w:rFonts w:ascii="Calibri" w:eastAsia="Calibri" w:hAnsi="Calibri" w:cs="Calibri"/>
          <w:sz w:val="22"/>
          <w:szCs w:val="22"/>
        </w:rPr>
        <w:t xml:space="preserve">There is also the option to </w:t>
      </w:r>
      <w:proofErr w:type="spellStart"/>
      <w:r>
        <w:rPr>
          <w:rFonts w:ascii="Calibri" w:eastAsia="Calibri" w:hAnsi="Calibri" w:cs="Calibri"/>
          <w:sz w:val="22"/>
          <w:szCs w:val="22"/>
        </w:rPr>
        <w:t>resit</w:t>
      </w:r>
      <w:proofErr w:type="spellEnd"/>
      <w:r>
        <w:rPr>
          <w:rFonts w:ascii="Calibri" w:eastAsia="Calibri" w:hAnsi="Calibri" w:cs="Calibri"/>
          <w:sz w:val="22"/>
          <w:szCs w:val="22"/>
        </w:rPr>
        <w:t xml:space="preserve"> GCSEs, A levels and some AS levels in the autumn, which may be preferable to some students. The design, content and assessment of these papers will be the same as in a normal year. </w:t>
      </w:r>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p>
    <w:p>
      <w:pPr>
        <w:shd w:val="clear" w:color="auto" w:fill="FFFFFF"/>
        <w:rPr>
          <w:rFonts w:ascii="Calibri" w:eastAsia="Calibri" w:hAnsi="Calibri" w:cs="Calibri"/>
          <w:sz w:val="22"/>
          <w:szCs w:val="22"/>
        </w:rPr>
      </w:pPr>
      <w:r>
        <w:rPr>
          <w:rFonts w:ascii="Calibri" w:eastAsia="Calibri" w:hAnsi="Calibri" w:cs="Calibri"/>
          <w:b/>
          <w:sz w:val="22"/>
          <w:szCs w:val="22"/>
        </w:rPr>
        <w:lastRenderedPageBreak/>
        <w:t>What are the grounds for appeal?</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There are four main grounds for appeal, as dictated by the Joint Council for Qualifications (JCQ). They are: </w:t>
      </w:r>
    </w:p>
    <w:p>
      <w:pPr>
        <w:numPr>
          <w:ilvl w:val="0"/>
          <w:numId w:val="1"/>
        </w:numPr>
        <w:ind w:left="1080"/>
        <w:rPr>
          <w:rFonts w:ascii="Calibri" w:eastAsia="Calibri" w:hAnsi="Calibri" w:cs="Calibri"/>
          <w:sz w:val="22"/>
          <w:szCs w:val="22"/>
        </w:rPr>
      </w:pPr>
      <w:r>
        <w:rPr>
          <w:rFonts w:ascii="Calibri" w:eastAsia="Calibri" w:hAnsi="Calibri" w:cs="Calibri"/>
          <w:sz w:val="22"/>
          <w:szCs w:val="22"/>
        </w:rPr>
        <w:t xml:space="preserve">You think we have made an </w:t>
      </w:r>
      <w:r>
        <w:rPr>
          <w:rFonts w:ascii="Calibri" w:eastAsia="Calibri" w:hAnsi="Calibri" w:cs="Calibri"/>
          <w:b/>
          <w:sz w:val="22"/>
          <w:szCs w:val="22"/>
        </w:rPr>
        <w:t>administrative error</w:t>
      </w:r>
      <w:r>
        <w:rPr>
          <w:rFonts w:ascii="Calibri" w:eastAsia="Calibri" w:hAnsi="Calibri" w:cs="Calibri"/>
          <w:sz w:val="22"/>
          <w:szCs w:val="22"/>
        </w:rPr>
        <w:t xml:space="preserve">: an example of this would be putting the wrong information into a spreadsheet. </w:t>
      </w:r>
    </w:p>
    <w:p>
      <w:pPr>
        <w:numPr>
          <w:ilvl w:val="0"/>
          <w:numId w:val="1"/>
        </w:numPr>
        <w:ind w:left="1080"/>
        <w:rPr>
          <w:rFonts w:ascii="Calibri" w:eastAsia="Calibri" w:hAnsi="Calibri" w:cs="Calibri"/>
          <w:sz w:val="22"/>
          <w:szCs w:val="22"/>
        </w:rPr>
      </w:pPr>
      <w:r>
        <w:rPr>
          <w:rFonts w:ascii="Calibri" w:eastAsia="Calibri" w:hAnsi="Calibri" w:cs="Calibri"/>
          <w:sz w:val="22"/>
          <w:szCs w:val="22"/>
        </w:rPr>
        <w:t xml:space="preserve">You think we have made a </w:t>
      </w:r>
      <w:r>
        <w:rPr>
          <w:rFonts w:ascii="Calibri" w:eastAsia="Calibri" w:hAnsi="Calibri" w:cs="Calibri"/>
          <w:b/>
          <w:sz w:val="22"/>
          <w:szCs w:val="22"/>
        </w:rPr>
        <w:t xml:space="preserve">procedural error: </w:t>
      </w:r>
      <w:r>
        <w:rPr>
          <w:rFonts w:ascii="Calibri" w:eastAsia="Calibri" w:hAnsi="Calibri" w:cs="Calibri"/>
          <w:sz w:val="22"/>
          <w:szCs w:val="22"/>
        </w:rPr>
        <w:t>this means we haven’t properly followed our own process, as approved by the exam board.</w:t>
      </w:r>
    </w:p>
    <w:p>
      <w:pPr>
        <w:numPr>
          <w:ilvl w:val="0"/>
          <w:numId w:val="1"/>
        </w:numPr>
        <w:ind w:left="1080"/>
        <w:rPr>
          <w:rFonts w:ascii="Calibri" w:eastAsia="Calibri" w:hAnsi="Calibri" w:cs="Calibri"/>
          <w:sz w:val="22"/>
          <w:szCs w:val="22"/>
        </w:rPr>
      </w:pPr>
      <w:r>
        <w:rPr>
          <w:rFonts w:ascii="Calibri" w:eastAsia="Calibri" w:hAnsi="Calibri" w:cs="Calibri"/>
          <w:sz w:val="22"/>
          <w:szCs w:val="22"/>
        </w:rPr>
        <w:t xml:space="preserve">You think the </w:t>
      </w:r>
      <w:r>
        <w:rPr>
          <w:rFonts w:ascii="Calibri" w:eastAsia="Calibri" w:hAnsi="Calibri" w:cs="Calibri"/>
          <w:b/>
          <w:sz w:val="22"/>
          <w:szCs w:val="22"/>
        </w:rPr>
        <w:t>academic judgement on the selection of evidence was unreasonable</w:t>
      </w:r>
      <w:r>
        <w:rPr>
          <w:rFonts w:ascii="Calibri" w:eastAsia="Calibri" w:hAnsi="Calibri" w:cs="Calibri"/>
          <w:sz w:val="22"/>
          <w:szCs w:val="22"/>
        </w:rPr>
        <w:t xml:space="preserve">: you think the evidence used to grade you was not reasonable. </w:t>
      </w:r>
    </w:p>
    <w:p>
      <w:pPr>
        <w:numPr>
          <w:ilvl w:val="0"/>
          <w:numId w:val="2"/>
        </w:numPr>
        <w:ind w:left="1080"/>
        <w:rPr>
          <w:rFonts w:ascii="Calibri" w:eastAsia="Calibri" w:hAnsi="Calibri" w:cs="Calibri"/>
          <w:sz w:val="22"/>
          <w:szCs w:val="22"/>
        </w:rPr>
      </w:pPr>
      <w:r>
        <w:rPr>
          <w:rFonts w:ascii="Calibri" w:eastAsia="Calibri" w:hAnsi="Calibri" w:cs="Calibri"/>
          <w:sz w:val="22"/>
          <w:szCs w:val="22"/>
        </w:rPr>
        <w:t xml:space="preserve">You think the </w:t>
      </w:r>
      <w:r>
        <w:rPr>
          <w:rFonts w:ascii="Calibri" w:eastAsia="Calibri" w:hAnsi="Calibri" w:cs="Calibri"/>
          <w:b/>
          <w:sz w:val="22"/>
          <w:szCs w:val="22"/>
        </w:rPr>
        <w:t>academic judgement on the grade you were given</w:t>
      </w:r>
      <w:r>
        <w:rPr>
          <w:rFonts w:ascii="Calibri" w:eastAsia="Calibri" w:hAnsi="Calibri" w:cs="Calibri"/>
          <w:sz w:val="22"/>
          <w:szCs w:val="22"/>
        </w:rPr>
        <w:t xml:space="preserve"> </w:t>
      </w:r>
      <w:r>
        <w:rPr>
          <w:rFonts w:ascii="Calibri" w:eastAsia="Calibri" w:hAnsi="Calibri" w:cs="Calibri"/>
          <w:b/>
          <w:sz w:val="22"/>
          <w:szCs w:val="22"/>
        </w:rPr>
        <w:t>was unreasonable</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b/>
          <w:sz w:val="22"/>
          <w:szCs w:val="22"/>
        </w:rPr>
        <w:t>What does ‘unreasonable’ mean?</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‘Unreasonable’ is a technical term in this context and means that no educational professional acting reasonably could have selected the same evidence or come up with the same grade.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This means that just because other forms of evidence may have been equally valid to use, the selection of evidence is not unreasonable. Because of the flexibility of the approach this year, every school and college will have used different forms of evidence.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It also means that the independent reviewers will </w:t>
      </w:r>
      <w:r>
        <w:rPr>
          <w:rFonts w:ascii="Calibri" w:eastAsia="Calibri" w:hAnsi="Calibri" w:cs="Calibri"/>
          <w:b/>
          <w:sz w:val="22"/>
          <w:szCs w:val="22"/>
        </w:rPr>
        <w:t>not</w:t>
      </w:r>
      <w:r>
        <w:rPr>
          <w:rFonts w:ascii="Calibri" w:eastAsia="Calibri" w:hAnsi="Calibri" w:cs="Calibri"/>
          <w:sz w:val="22"/>
          <w:szCs w:val="22"/>
        </w:rPr>
        <w:t xml:space="preserve"> remark or grade students’ evidence. Instead, they will look to see whether any teacher acting reasonably could have arrived at the same grade.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b/>
          <w:sz w:val="22"/>
          <w:szCs w:val="22"/>
        </w:rPr>
        <w:t>What will be the outcome of an appeal?</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At either stage of the appeals process (see ‘What are the two stages of an appeal?’ below), a student’s grade may go up, stay the stay, or go down. When placing an </w:t>
      </w:r>
      <w:proofErr w:type="gramStart"/>
      <w:r>
        <w:rPr>
          <w:rFonts w:ascii="Calibri" w:eastAsia="Calibri" w:hAnsi="Calibri" w:cs="Calibri"/>
          <w:sz w:val="22"/>
          <w:szCs w:val="22"/>
        </w:rPr>
        <w:t>appeal</w:t>
      </w:r>
      <w:proofErr w:type="gramEnd"/>
      <w:r>
        <w:rPr>
          <w:rFonts w:ascii="Calibri" w:eastAsia="Calibri" w:hAnsi="Calibri" w:cs="Calibri"/>
          <w:sz w:val="22"/>
          <w:szCs w:val="22"/>
        </w:rPr>
        <w:t xml:space="preserve"> the student will have to sign a declaration saying that they accept the fact their grade may go down and they may get a lower grade than their original TAG. </w:t>
      </w:r>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b/>
          <w:sz w:val="22"/>
          <w:szCs w:val="22"/>
        </w:rPr>
        <w:t>What’s a priority appeal?</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Priority appeals will be handled more quickly than other appeals, where possible before UCAS’s advisory deadline of 8 September. </w:t>
      </w:r>
    </w:p>
    <w:p>
      <w:pPr>
        <w:shd w:val="clear" w:color="auto" w:fill="FFFFFF"/>
        <w:rPr>
          <w:rFonts w:ascii="Calibri" w:eastAsia="Calibri" w:hAnsi="Calibri" w:cs="Calibri"/>
          <w:sz w:val="22"/>
          <w:szCs w:val="22"/>
        </w:rPr>
      </w:pPr>
      <w:r>
        <w:rPr>
          <w:rFonts w:ascii="Calibri" w:eastAsia="Calibri" w:hAnsi="Calibri" w:cs="Calibri"/>
          <w:sz w:val="22"/>
          <w:szCs w:val="22"/>
        </w:rPr>
        <w:t xml:space="preserve">Priory appeals are only open to </w:t>
      </w:r>
      <w:r>
        <w:rPr>
          <w:rFonts w:ascii="Calibri" w:eastAsia="Calibri" w:hAnsi="Calibri" w:cs="Calibri"/>
          <w:b/>
          <w:sz w:val="22"/>
          <w:szCs w:val="22"/>
        </w:rPr>
        <w:t>A level students starting university this autumn, who have missed out on the conditions of their firm or insurance offer</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If you decide not to confirm a firm conditional offer and to go through clearing instead, JCQ cannot offer you a priority appeal. </w:t>
      </w:r>
    </w:p>
    <w:p>
      <w:pPr>
        <w:shd w:val="clear" w:color="auto" w:fill="FFFFFF"/>
        <w:rPr>
          <w:rFonts w:ascii="Calibri" w:eastAsia="Calibri" w:hAnsi="Calibri" w:cs="Calibri"/>
          <w:sz w:val="22"/>
          <w:szCs w:val="22"/>
        </w:rPr>
      </w:pPr>
      <w:r>
        <w:rPr>
          <w:rFonts w:ascii="Calibri" w:eastAsia="Calibri" w:hAnsi="Calibri" w:cs="Calibri"/>
          <w:sz w:val="22"/>
          <w:szCs w:val="22"/>
        </w:rPr>
        <w:t xml:space="preserve">JCQ cannot offer priority appeals for GCSE students, unfortunately.  </w:t>
      </w:r>
    </w:p>
    <w:p>
      <w:pPr>
        <w:shd w:val="clear" w:color="auto" w:fill="FFFFFF"/>
        <w:rPr>
          <w:rFonts w:ascii="Calibri" w:eastAsia="Calibri" w:hAnsi="Calibri" w:cs="Calibri"/>
          <w:sz w:val="22"/>
          <w:szCs w:val="22"/>
        </w:rPr>
      </w:pPr>
      <w:r>
        <w:rPr>
          <w:rFonts w:ascii="Calibri" w:eastAsia="Calibri" w:hAnsi="Calibri" w:cs="Calibri"/>
          <w:sz w:val="22"/>
          <w:szCs w:val="22"/>
        </w:rPr>
        <w:t xml:space="preserve">When making a priority appeal, students will have to include their UCAS number so it can be confirmed that it is a genuine priority appeal. </w:t>
      </w:r>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b/>
          <w:sz w:val="22"/>
          <w:szCs w:val="22"/>
        </w:rPr>
        <w:t>What should I do if I don’t get into my first choice of university?</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First, don’t panic. Speak to a member of the 6th Form team about your options. You may wish to go through clearing, or sit the autumn exams or summer exams next year to try to improve your grade.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If you are going to appeal your grade, you must let your university know you are appealing. They will then let you know whether they will hold a place for you pending the outcome of an appeal (note that universities are not obliged to hold a place for you; this is at their discretion). </w:t>
      </w:r>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b/>
          <w:sz w:val="22"/>
          <w:szCs w:val="22"/>
        </w:rPr>
        <w:t xml:space="preserve">What should I do before </w:t>
      </w:r>
      <w:proofErr w:type="gramStart"/>
      <w:r>
        <w:rPr>
          <w:rFonts w:ascii="Calibri" w:eastAsia="Calibri" w:hAnsi="Calibri" w:cs="Calibri"/>
          <w:b/>
          <w:sz w:val="22"/>
          <w:szCs w:val="22"/>
        </w:rPr>
        <w:t>appealing</w:t>
      </w:r>
      <w:proofErr w:type="gramEnd"/>
      <w:r>
        <w:rPr>
          <w:rFonts w:ascii="Calibri" w:eastAsia="Calibri" w:hAnsi="Calibri" w:cs="Calibri"/>
          <w:b/>
          <w:sz w:val="22"/>
          <w:szCs w:val="22"/>
        </w:rPr>
        <w:t>?</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Students must read the JCQ Student and Parent guide before appealing, which will be available on the JCQ website by results days.</w:t>
      </w:r>
    </w:p>
    <w:p>
      <w:pPr>
        <w:shd w:val="clear" w:color="auto" w:fill="FFFFFF"/>
        <w:rPr>
          <w:rFonts w:ascii="Calibri" w:eastAsia="Calibri" w:hAnsi="Calibri" w:cs="Calibri"/>
          <w:sz w:val="22"/>
          <w:szCs w:val="22"/>
        </w:rPr>
      </w:pPr>
      <w:r>
        <w:rPr>
          <w:rFonts w:ascii="Calibri" w:eastAsia="Calibri" w:hAnsi="Calibri" w:cs="Calibri"/>
          <w:sz w:val="22"/>
          <w:szCs w:val="22"/>
        </w:rPr>
        <w:t xml:space="preserve">We may not be able to offer as much advice and guidance on the likely success of an appeal this summer as we would in normal years, as we have already moderated and quality assured all the grades ourselves. </w:t>
      </w:r>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b/>
          <w:sz w:val="22"/>
          <w:szCs w:val="22"/>
        </w:rPr>
        <w:t>What are the two stages of an appeal?</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All appeals, on any of the grounds above, must first go through a </w:t>
      </w:r>
      <w:r>
        <w:rPr>
          <w:rFonts w:ascii="Calibri" w:eastAsia="Calibri" w:hAnsi="Calibri" w:cs="Calibri"/>
          <w:b/>
          <w:sz w:val="22"/>
          <w:szCs w:val="22"/>
        </w:rPr>
        <w:t>centre review</w:t>
      </w:r>
      <w:r>
        <w:rPr>
          <w:rFonts w:ascii="Calibri" w:eastAsia="Calibri" w:hAnsi="Calibri" w:cs="Calibri"/>
          <w:sz w:val="22"/>
          <w:szCs w:val="22"/>
        </w:rPr>
        <w:t xml:space="preserve">. At this stage, we will check for any administrative errors, and check that our policies and procedures were followed correctly. Our policy has already been approved by the exam boards, so we are only ensuring that we followed this properly. </w:t>
      </w:r>
    </w:p>
    <w:p>
      <w:pPr>
        <w:shd w:val="clear" w:color="auto" w:fill="FFFFFF"/>
        <w:rPr>
          <w:rFonts w:ascii="Calibri" w:eastAsia="Calibri" w:hAnsi="Calibri" w:cs="Calibri"/>
          <w:sz w:val="22"/>
          <w:szCs w:val="22"/>
        </w:rPr>
      </w:pPr>
      <w:r>
        <w:rPr>
          <w:rFonts w:ascii="Calibri" w:eastAsia="Calibri" w:hAnsi="Calibri" w:cs="Calibri"/>
          <w:sz w:val="22"/>
          <w:szCs w:val="22"/>
        </w:rPr>
        <w:t xml:space="preserve">The outcome of the centre review will be communicated to students when made. </w:t>
      </w:r>
    </w:p>
    <w:p>
      <w:pPr>
        <w:shd w:val="clear" w:color="auto" w:fill="FFFFFF"/>
        <w:rPr>
          <w:rFonts w:ascii="Calibri" w:eastAsia="Calibri" w:hAnsi="Calibri" w:cs="Calibri"/>
          <w:sz w:val="22"/>
          <w:szCs w:val="22"/>
        </w:rPr>
      </w:pPr>
      <w:r>
        <w:rPr>
          <w:rFonts w:ascii="Calibri" w:eastAsia="Calibri" w:hAnsi="Calibri" w:cs="Calibri"/>
          <w:sz w:val="22"/>
          <w:szCs w:val="22"/>
        </w:rPr>
        <w:lastRenderedPageBreak/>
        <w:t xml:space="preserve">At the centre review stage, if we find that a grade should go up or down, we will ask the exam board to change it. They will then consider this request.  </w:t>
      </w:r>
    </w:p>
    <w:p>
      <w:pPr>
        <w:shd w:val="clear" w:color="auto" w:fill="FFFFFF"/>
        <w:rPr>
          <w:rFonts w:ascii="Calibri" w:eastAsia="Calibri" w:hAnsi="Calibri" w:cs="Calibri"/>
          <w:sz w:val="22"/>
          <w:szCs w:val="22"/>
        </w:rPr>
      </w:pPr>
      <w:r>
        <w:rPr>
          <w:rFonts w:ascii="Calibri" w:eastAsia="Calibri" w:hAnsi="Calibri" w:cs="Calibri"/>
          <w:sz w:val="22"/>
          <w:szCs w:val="22"/>
        </w:rPr>
        <w:t xml:space="preserve">Following the outcome of a centre review, students may still choose to pursue an </w:t>
      </w:r>
      <w:r>
        <w:rPr>
          <w:rFonts w:ascii="Calibri" w:eastAsia="Calibri" w:hAnsi="Calibri" w:cs="Calibri"/>
          <w:b/>
          <w:sz w:val="22"/>
          <w:szCs w:val="22"/>
        </w:rPr>
        <w:t>awarding organisation appeal</w:t>
      </w:r>
      <w:r>
        <w:rPr>
          <w:rFonts w:ascii="Calibri" w:eastAsia="Calibri" w:hAnsi="Calibri" w:cs="Calibri"/>
          <w:sz w:val="22"/>
          <w:szCs w:val="22"/>
        </w:rPr>
        <w:t xml:space="preserve">. They must fill in the form below, which we will then send on their behalf to the exam boards. Students and parents cannot send appeals directly to the exam board themselves – it must come from us. </w:t>
      </w:r>
    </w:p>
    <w:p>
      <w:pPr>
        <w:shd w:val="clear" w:color="auto" w:fill="FFFFFF"/>
        <w:rPr>
          <w:rFonts w:ascii="Calibri" w:eastAsia="Calibri" w:hAnsi="Calibri" w:cs="Calibri"/>
          <w:sz w:val="22"/>
          <w:szCs w:val="22"/>
        </w:rPr>
      </w:pPr>
      <w:r>
        <w:rPr>
          <w:rFonts w:ascii="Calibri" w:eastAsia="Calibri" w:hAnsi="Calibri" w:cs="Calibri"/>
          <w:sz w:val="22"/>
          <w:szCs w:val="22"/>
        </w:rPr>
        <w:t xml:space="preserve">The outcome of the awarding organisation appeal will be communicated to students when made.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b/>
          <w:sz w:val="22"/>
          <w:szCs w:val="22"/>
        </w:rPr>
        <w:t>How do I make an appeal?</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Following results days, students should fill in the first section of the JCQ form </w:t>
      </w:r>
      <w:hyperlink r:id="rId8">
        <w:r>
          <w:rPr>
            <w:rFonts w:ascii="Calibri" w:eastAsia="Calibri" w:hAnsi="Calibri" w:cs="Calibri"/>
            <w:color w:val="0563C1"/>
            <w:sz w:val="22"/>
            <w:szCs w:val="22"/>
            <w:u w:val="single"/>
          </w:rPr>
          <w:t>here</w:t>
        </w:r>
      </w:hyperlink>
      <w:r>
        <w:rPr>
          <w:rFonts w:ascii="Calibri" w:eastAsia="Calibri" w:hAnsi="Calibri" w:cs="Calibri"/>
          <w:sz w:val="22"/>
          <w:szCs w:val="22"/>
        </w:rPr>
        <w:t xml:space="preserve"> and send it to </w:t>
      </w:r>
      <w:r>
        <w:rPr>
          <w:rFonts w:ascii="Calibri" w:eastAsia="Calibri" w:hAnsi="Calibri" w:cs="Calibri"/>
        </w:rPr>
        <w:t xml:space="preserve">our exams officer </w:t>
      </w:r>
      <w:hyperlink r:id="rId9">
        <w:r>
          <w:rPr>
            <w:rFonts w:ascii="Calibri" w:eastAsia="Calibri" w:hAnsi="Calibri" w:cs="Calibri"/>
            <w:color w:val="0000FF"/>
            <w:u w:val="single"/>
          </w:rPr>
          <w:t>gstewart@stjosephs.uk.net</w:t>
        </w:r>
      </w:hyperlink>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b/>
          <w:sz w:val="22"/>
          <w:szCs w:val="22"/>
        </w:rPr>
        <w:t>What are the deadlines for priority appeals?</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The suggested deadline for requesting a priority appeal is 16 August (students cannot appeal before results day on 10 August). </w:t>
      </w:r>
    </w:p>
    <w:p>
      <w:pPr>
        <w:shd w:val="clear" w:color="auto" w:fill="FFFFFF"/>
        <w:rPr>
          <w:rFonts w:ascii="Calibri" w:eastAsia="Calibri" w:hAnsi="Calibri" w:cs="Calibri"/>
          <w:sz w:val="22"/>
          <w:szCs w:val="22"/>
        </w:rPr>
      </w:pPr>
      <w:r>
        <w:rPr>
          <w:rFonts w:ascii="Calibri" w:eastAsia="Calibri" w:hAnsi="Calibri" w:cs="Calibri"/>
          <w:sz w:val="22"/>
          <w:szCs w:val="22"/>
        </w:rPr>
        <w:t xml:space="preserve">We will attempt to complete the centre review by 20 August*. If students wish to progress this to an awarding organisation appeal, they must send the completed form to us by 23 August for priority appeals. </w:t>
      </w:r>
    </w:p>
    <w:p>
      <w:pPr>
        <w:shd w:val="clear" w:color="auto" w:fill="FFFFFF"/>
        <w:rPr>
          <w:rFonts w:ascii="Calibri" w:eastAsia="Calibri" w:hAnsi="Calibri" w:cs="Calibri"/>
          <w:sz w:val="22"/>
          <w:szCs w:val="22"/>
        </w:rPr>
      </w:pPr>
      <w:r>
        <w:rPr>
          <w:rFonts w:ascii="Calibri" w:eastAsia="Calibri" w:hAnsi="Calibri" w:cs="Calibri"/>
          <w:sz w:val="22"/>
          <w:szCs w:val="22"/>
        </w:rPr>
        <w:t xml:space="preserve">*At both stages of the appeals process, there may be the need for specialist, expert knowledge (e.g. subject teachers, SEND knowledge). This may not be possible in August. In such cases, we may have to wait until the start of term, but priority appeals will still be treated as a priority.  </w:t>
      </w:r>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b/>
          <w:sz w:val="22"/>
          <w:szCs w:val="22"/>
        </w:rPr>
        <w:t>What are the deadlines for non-priority appeals?</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Non-priority appeals are any A levels, GCSEs or vocational qualifications, where a firm or insurance university place is not pending. </w:t>
      </w:r>
    </w:p>
    <w:p>
      <w:pPr>
        <w:shd w:val="clear" w:color="auto" w:fill="FFFFFF"/>
        <w:rPr>
          <w:rFonts w:ascii="Calibri" w:eastAsia="Calibri" w:hAnsi="Calibri" w:cs="Calibri"/>
          <w:sz w:val="22"/>
          <w:szCs w:val="22"/>
        </w:rPr>
      </w:pPr>
      <w:r>
        <w:rPr>
          <w:rFonts w:ascii="Calibri" w:eastAsia="Calibri" w:hAnsi="Calibri" w:cs="Calibri"/>
          <w:sz w:val="22"/>
          <w:szCs w:val="22"/>
        </w:rPr>
        <w:t xml:space="preserve">The deadline for submitting a centre review is 3 September; and the deadline for submitting an awarding organisation appeal is 10 September. </w:t>
      </w:r>
    </w:p>
    <w:p>
      <w:pPr>
        <w:shd w:val="clear" w:color="auto" w:fill="FFFFFF"/>
        <w:rPr>
          <w:rFonts w:ascii="Calibri" w:eastAsia="Calibri" w:hAnsi="Calibri" w:cs="Calibri"/>
          <w:sz w:val="22"/>
          <w:szCs w:val="22"/>
        </w:rPr>
      </w:pPr>
      <w:r>
        <w:rPr>
          <w:rFonts w:ascii="Calibri" w:eastAsia="Calibri" w:hAnsi="Calibri" w:cs="Calibri"/>
          <w:sz w:val="22"/>
          <w:szCs w:val="22"/>
        </w:rPr>
        <w:t xml:space="preserve">Appeals received after these dates may still be considered. </w:t>
      </w:r>
    </w:p>
    <w:p>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b/>
          <w:sz w:val="22"/>
          <w:szCs w:val="22"/>
        </w:rPr>
        <w:t xml:space="preserve">You know </w:t>
      </w:r>
      <w:proofErr w:type="gramStart"/>
      <w:r>
        <w:rPr>
          <w:rFonts w:ascii="Calibri" w:eastAsia="Calibri" w:hAnsi="Calibri" w:cs="Calibri"/>
          <w:b/>
          <w:sz w:val="22"/>
          <w:szCs w:val="22"/>
        </w:rPr>
        <w:t>my  /</w:t>
      </w:r>
      <w:proofErr w:type="gramEnd"/>
      <w:r>
        <w:rPr>
          <w:rFonts w:ascii="Calibri" w:eastAsia="Calibri" w:hAnsi="Calibri" w:cs="Calibri"/>
          <w:b/>
          <w:sz w:val="22"/>
          <w:szCs w:val="22"/>
        </w:rPr>
        <w:t xml:space="preserve"> my child’s grades. Why can’t you tell us? What if you know we haven’t met our university conditional offer?</w:t>
      </w:r>
      <w:r>
        <w:rPr>
          <w:rFonts w:ascii="Calibri" w:eastAsia="Calibri" w:hAnsi="Calibri" w:cs="Calibri"/>
          <w:sz w:val="22"/>
          <w:szCs w:val="22"/>
        </w:rPr>
        <w:t xml:space="preserv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We are forbidden from disclosing the Teacher Assessed Grades to any third party, including students and parents, until results days. Any teacher or member of staff who does this is committing exam malpractice. </w:t>
      </w:r>
    </w:p>
    <w:p>
      <w:pPr>
        <w:shd w:val="clear" w:color="auto" w:fill="FFFFFF"/>
        <w:rPr>
          <w:rFonts w:ascii="Calibri" w:eastAsia="Calibri" w:hAnsi="Calibri" w:cs="Calibri"/>
          <w:sz w:val="22"/>
          <w:szCs w:val="22"/>
        </w:rPr>
      </w:pPr>
      <w:r>
        <w:rPr>
          <w:rFonts w:ascii="Calibri" w:eastAsia="Calibri" w:hAnsi="Calibri" w:cs="Calibri"/>
          <w:sz w:val="22"/>
          <w:szCs w:val="22"/>
        </w:rPr>
        <w:t xml:space="preserve">Although students may have been given marks or grades on single pieces of evidence, we cannot disclose the final submitted TAG.  </w:t>
      </w:r>
    </w:p>
    <w:p>
      <w:pPr>
        <w:shd w:val="clear" w:color="auto" w:fill="FFFFFF"/>
        <w:rPr>
          <w:rFonts w:ascii="Calibri" w:eastAsia="Calibri" w:hAnsi="Calibri" w:cs="Calibri"/>
          <w:sz w:val="22"/>
          <w:szCs w:val="22"/>
        </w:rPr>
      </w:pPr>
      <w:r>
        <w:rPr>
          <w:rFonts w:ascii="Calibri" w:eastAsia="Calibri" w:hAnsi="Calibri" w:cs="Calibri"/>
          <w:sz w:val="22"/>
          <w:szCs w:val="22"/>
        </w:rPr>
        <w:t xml:space="preserve">During the external quality assurance process taking place in June or July, our submitted TAGs may be moved up or down (although this will always be done through human agency, not by an algorithm). </w:t>
      </w:r>
    </w:p>
    <w:p>
      <w:pPr>
        <w:shd w:val="clear" w:color="auto" w:fill="FFFFFF"/>
        <w:rPr>
          <w:rFonts w:ascii="Calibri" w:eastAsia="Calibri" w:hAnsi="Calibri" w:cs="Calibri"/>
          <w:sz w:val="22"/>
          <w:szCs w:val="22"/>
        </w:rPr>
      </w:pPr>
      <w:r>
        <w:rPr>
          <w:rFonts w:ascii="Calibri" w:eastAsia="Calibri" w:hAnsi="Calibri" w:cs="Calibri"/>
          <w:sz w:val="22"/>
          <w:szCs w:val="22"/>
        </w:rPr>
        <w:t xml:space="preserve">We only know what a student’s conditional offer is if they have chosen to share that information with us. It has not formed part of our objective grading of students. Where we do know this information, we must not let students know their submitted TAGs, even if they haven’t met the conditions of their offer. </w:t>
      </w:r>
    </w:p>
    <w:p>
      <w:pPr>
        <w:shd w:val="clear" w:color="auto" w:fill="FFFFFF"/>
        <w:rPr>
          <w:rFonts w:ascii="Calibri" w:eastAsia="Calibri" w:hAnsi="Calibri" w:cs="Calibri"/>
          <w:sz w:val="22"/>
          <w:szCs w:val="22"/>
        </w:rPr>
      </w:pPr>
    </w:p>
    <w:p>
      <w:pPr>
        <w:shd w:val="clear" w:color="auto" w:fill="FFFFFF"/>
        <w:rPr>
          <w:rFonts w:ascii="Calibri" w:eastAsia="Calibri" w:hAnsi="Calibri" w:cs="Calibri"/>
          <w:sz w:val="22"/>
          <w:szCs w:val="22"/>
        </w:rPr>
      </w:pPr>
    </w:p>
    <w:p>
      <w:pPr>
        <w:shd w:val="clear" w:color="auto" w:fill="FFFFFF"/>
        <w:rPr>
          <w:rFonts w:ascii="Calibri" w:eastAsia="Calibri" w:hAnsi="Calibri" w:cs="Calibri"/>
          <w:sz w:val="22"/>
          <w:szCs w:val="22"/>
        </w:rPr>
      </w:pPr>
    </w:p>
    <w:p>
      <w:pPr>
        <w:rPr>
          <w:rFonts w:ascii="Calibri" w:eastAsia="Calibri" w:hAnsi="Calibri" w:cs="Calibri"/>
        </w:rPr>
      </w:pPr>
      <w:r>
        <w:rPr>
          <w:rFonts w:ascii="Calibri" w:eastAsia="Calibri" w:hAnsi="Calibri" w:cs="Calibri"/>
          <w:b/>
          <w:u w:val="single"/>
        </w:rPr>
        <w:t>Support with Results</w:t>
      </w:r>
    </w:p>
    <w:p>
      <w:pPr>
        <w:rPr>
          <w:rFonts w:ascii="Calibri" w:eastAsia="Calibri" w:hAnsi="Calibri" w:cs="Calibri"/>
        </w:rPr>
      </w:pPr>
    </w:p>
    <w:p>
      <w:pPr>
        <w:rPr>
          <w:rFonts w:ascii="Calibri" w:eastAsia="Calibri" w:hAnsi="Calibri" w:cs="Calibri"/>
        </w:rPr>
      </w:pPr>
      <w:r>
        <w:rPr>
          <w:rFonts w:ascii="Calibri" w:eastAsia="Calibri" w:hAnsi="Calibri" w:cs="Calibri"/>
        </w:rPr>
        <w:t xml:space="preserve">Members of staff will be in school to assist students who need guidance and advice about contacting universities and colleges, and clearing etc. Please remember to consider the following: </w:t>
      </w:r>
    </w:p>
    <w:p>
      <w:pPr>
        <w:rPr>
          <w:rFonts w:ascii="Calibri" w:eastAsia="Calibri" w:hAnsi="Calibri" w:cs="Calibri"/>
        </w:rPr>
      </w:pPr>
      <w:r>
        <w:rPr>
          <w:rFonts w:ascii="Calibri" w:eastAsia="Calibri" w:hAnsi="Calibri" w:cs="Calibri"/>
        </w:rPr>
        <w:t>• Do not assume you have lost your place if your grades are below the conditional offer. You will need to check with your chosen institution as soon as possible – the quicker you know, the sooner you can begin, if necessary, to make alternative arrangements.</w:t>
      </w:r>
    </w:p>
    <w:p>
      <w:pPr>
        <w:rPr>
          <w:rFonts w:ascii="Calibri" w:eastAsia="Calibri" w:hAnsi="Calibri" w:cs="Calibri"/>
        </w:rPr>
      </w:pPr>
      <w:r>
        <w:rPr>
          <w:rFonts w:ascii="Calibri" w:eastAsia="Calibri" w:hAnsi="Calibri" w:cs="Calibri"/>
        </w:rPr>
        <w:t xml:space="preserve">• Be proactive – it is your future, your education; you need to get on the telephone, internet, etc. to keep yourself informed with where your application is up to. For urgent cases, internet facilities will be made available within school. </w:t>
      </w:r>
    </w:p>
    <w:p>
      <w:pPr>
        <w:rPr>
          <w:rFonts w:ascii="Calibri" w:eastAsia="Calibri" w:hAnsi="Calibri" w:cs="Calibri"/>
        </w:rPr>
      </w:pPr>
    </w:p>
    <w:p>
      <w:pPr>
        <w:rPr>
          <w:rFonts w:ascii="Calibri" w:eastAsia="Calibri" w:hAnsi="Calibri" w:cs="Calibri"/>
        </w:rPr>
      </w:pPr>
    </w:p>
    <w:p>
      <w:pPr>
        <w:rPr>
          <w:rFonts w:ascii="Calibri" w:eastAsia="Calibri" w:hAnsi="Calibri" w:cs="Calibri"/>
          <w:b/>
          <w:u w:val="single"/>
        </w:rPr>
      </w:pPr>
    </w:p>
    <w:p>
      <w:pPr>
        <w:rPr>
          <w:rFonts w:ascii="Calibri" w:eastAsia="Calibri" w:hAnsi="Calibri" w:cs="Calibri"/>
          <w:b/>
          <w:u w:val="single"/>
        </w:rPr>
      </w:pPr>
    </w:p>
    <w:p>
      <w:pPr>
        <w:rPr>
          <w:rFonts w:ascii="Calibri" w:eastAsia="Calibri" w:hAnsi="Calibri" w:cs="Calibri"/>
          <w:b/>
          <w:u w:val="single"/>
        </w:rPr>
      </w:pPr>
      <w:bookmarkStart w:id="0" w:name="_GoBack"/>
      <w:bookmarkEnd w:id="0"/>
      <w:r>
        <w:rPr>
          <w:rFonts w:ascii="Calibri" w:eastAsia="Calibri" w:hAnsi="Calibri" w:cs="Calibri"/>
          <w:b/>
          <w:u w:val="single"/>
        </w:rPr>
        <w:lastRenderedPageBreak/>
        <w:t>Autumn exam series</w:t>
      </w:r>
    </w:p>
    <w:p>
      <w:pPr>
        <w:rPr>
          <w:rFonts w:ascii="Calibri" w:eastAsia="Calibri" w:hAnsi="Calibri" w:cs="Calibri"/>
        </w:rPr>
      </w:pPr>
    </w:p>
    <w:p>
      <w:pPr>
        <w:rPr>
          <w:rFonts w:ascii="Calibri" w:eastAsia="Calibri" w:hAnsi="Calibri" w:cs="Calibri"/>
        </w:rPr>
      </w:pPr>
      <w:r>
        <w:rPr>
          <w:rFonts w:ascii="Calibri" w:eastAsia="Calibri" w:hAnsi="Calibri" w:cs="Calibri"/>
        </w:rPr>
        <w:t>Exam boards will be offering exams in October for AS and A levels. Exams will be available for all A level subjects, and for AS in biology, chemistry, physics, maths and further maths. The exams will be in a standard format and no adaptations will be made other than reasonable adjustments for eligible students. The exams will assess you in the same way as had been planned for exams in summer 2021.</w:t>
      </w:r>
    </w:p>
    <w:p>
      <w:pPr>
        <w:rPr>
          <w:rFonts w:ascii="Calibri" w:eastAsia="Calibri" w:hAnsi="Calibri" w:cs="Calibri"/>
        </w:rPr>
      </w:pPr>
    </w:p>
    <w:p>
      <w:pPr>
        <w:rPr>
          <w:rFonts w:ascii="Calibri" w:eastAsia="Calibri" w:hAnsi="Calibri" w:cs="Calibri"/>
        </w:rPr>
      </w:pPr>
      <w:r>
        <w:rPr>
          <w:rFonts w:ascii="Calibri" w:eastAsia="Calibri" w:hAnsi="Calibri" w:cs="Calibri"/>
        </w:rPr>
        <w:t xml:space="preserve">If you wish to be entered for the Autumn exam series for any subject please contact our exams officer </w:t>
      </w:r>
      <w:hyperlink r:id="rId10">
        <w:r>
          <w:rPr>
            <w:rFonts w:ascii="Calibri" w:eastAsia="Calibri" w:hAnsi="Calibri" w:cs="Calibri"/>
            <w:color w:val="0000FF"/>
            <w:u w:val="single"/>
          </w:rPr>
          <w:t>gstewart@stjosephs.uk.net</w:t>
        </w:r>
      </w:hyperlink>
      <w:r>
        <w:rPr>
          <w:rFonts w:ascii="Calibri" w:eastAsia="Calibri" w:hAnsi="Calibri" w:cs="Calibri"/>
        </w:rPr>
        <w:t>.</w:t>
      </w:r>
      <w:r>
        <w:rPr>
          <w:rFonts w:ascii="Calibri" w:eastAsia="Calibri" w:hAnsi="Calibri" w:cs="Calibri"/>
          <w:b/>
        </w:rPr>
        <w:t xml:space="preserve"> If we can request that exam entries are with us by Friday 3rd September. </w:t>
      </w:r>
      <w:r>
        <w:rPr>
          <w:rFonts w:ascii="Calibri" w:eastAsia="Calibri" w:hAnsi="Calibri" w:cs="Calibri"/>
        </w:rPr>
        <w:t xml:space="preserve"> </w:t>
      </w:r>
    </w:p>
    <w:p>
      <w:pPr>
        <w:rPr>
          <w:rFonts w:ascii="Calibri" w:eastAsia="Calibri" w:hAnsi="Calibri" w:cs="Calibri"/>
        </w:rPr>
      </w:pPr>
    </w:p>
    <w:p>
      <w:pPr>
        <w:rPr>
          <w:rFonts w:ascii="Calibri" w:eastAsia="Calibri" w:hAnsi="Calibri" w:cs="Calibri"/>
        </w:rPr>
      </w:pPr>
    </w:p>
    <w:p>
      <w:pPr>
        <w:rPr>
          <w:rFonts w:ascii="Calibri" w:eastAsia="Calibri" w:hAnsi="Calibri" w:cs="Calibri"/>
        </w:rPr>
      </w:pPr>
      <w:r>
        <w:rPr>
          <w:rFonts w:ascii="Calibri" w:eastAsia="Calibri" w:hAnsi="Calibri" w:cs="Calibri"/>
        </w:rPr>
        <w:t>Kind regards,</w:t>
      </w:r>
    </w:p>
    <w:p>
      <w:pPr>
        <w:rPr>
          <w:rFonts w:ascii="Calibri" w:eastAsia="Calibri" w:hAnsi="Calibri" w:cs="Calibri"/>
        </w:rPr>
      </w:pPr>
    </w:p>
    <w:p>
      <w:pPr>
        <w:rPr>
          <w:rFonts w:ascii="Calibri" w:eastAsia="Calibri" w:hAnsi="Calibri" w:cs="Calibri"/>
        </w:rPr>
      </w:pPr>
      <w:r>
        <w:rPr>
          <w:rFonts w:ascii="Calibri" w:eastAsia="Calibri" w:hAnsi="Calibri" w:cs="Calibri"/>
        </w:rPr>
        <w:t>Mr. D. McGuinness</w:t>
      </w:r>
    </w:p>
    <w:p>
      <w:pPr>
        <w:rPr>
          <w:rFonts w:ascii="Calibri" w:eastAsia="Calibri" w:hAnsi="Calibri" w:cs="Calibri"/>
        </w:rPr>
      </w:pPr>
      <w:r>
        <w:rPr>
          <w:rFonts w:ascii="Calibri" w:eastAsia="Calibri" w:hAnsi="Calibri" w:cs="Calibri"/>
        </w:rPr>
        <w:t>Assistant Head Teacher</w:t>
      </w:r>
    </w:p>
    <w:p>
      <w:pPr>
        <w:rPr>
          <w:rFonts w:ascii="Calibri" w:eastAsia="Calibri" w:hAnsi="Calibri" w:cs="Calibri"/>
        </w:rPr>
      </w:pPr>
    </w:p>
    <w:p>
      <w:pPr>
        <w:rPr>
          <w:rFonts w:ascii="Calibri" w:eastAsia="Calibri" w:hAnsi="Calibri" w:cs="Calibri"/>
          <w:b/>
          <w:u w:val="single"/>
        </w:rPr>
      </w:pPr>
      <w:bookmarkStart w:id="1" w:name="_heading=h.gjdgxs" w:colFirst="0" w:colLast="0"/>
      <w:bookmarkEnd w:id="1"/>
    </w:p>
    <w:p>
      <w:pPr>
        <w:rPr>
          <w:rFonts w:ascii="Calibri" w:eastAsia="Calibri" w:hAnsi="Calibri" w:cs="Calibri"/>
          <w:b/>
          <w:u w:val="single"/>
        </w:rPr>
      </w:pPr>
    </w:p>
    <w:p>
      <w:pPr>
        <w:rPr>
          <w:b/>
          <w:sz w:val="22"/>
          <w:szCs w:val="22"/>
          <w:u w:val="single"/>
        </w:rPr>
      </w:pPr>
    </w:p>
    <w:sectPr>
      <w:headerReference w:type="first" r:id="rId11"/>
      <w:footerReference w:type="first" r:id="rId12"/>
      <w:pgSz w:w="11906" w:h="16838"/>
      <w:pgMar w:top="993" w:right="1140" w:bottom="561" w:left="1140" w:header="709" w:footer="45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153"/>
        <w:tab w:val="right" w:pos="8306"/>
      </w:tabs>
      <w:rPr>
        <w:color w:val="0000FF"/>
      </w:rPr>
    </w:pPr>
    <w:r>
      <w:rPr>
        <w:color w:val="0000FF"/>
      </w:rPr>
      <w:t xml:space="preserve">    </w:t>
    </w:r>
    <w:r>
      <w:rPr>
        <w:noProof/>
      </w:rPr>
      <w:drawing>
        <wp:anchor distT="0" distB="0" distL="114300" distR="114300" simplePos="0" relativeHeight="251660288" behindDoc="0" locked="0" layoutInCell="1" hidden="0" allowOverlap="1">
          <wp:simplePos x="0" y="0"/>
          <wp:positionH relativeFrom="column">
            <wp:posOffset>-556921</wp:posOffset>
          </wp:positionH>
          <wp:positionV relativeFrom="paragraph">
            <wp:posOffset>73991</wp:posOffset>
          </wp:positionV>
          <wp:extent cx="1737360" cy="518795"/>
          <wp:effectExtent l="0" t="0" r="0" b="0"/>
          <wp:wrapSquare wrapText="bothSides" distT="0" distB="0" distL="114300" distR="114300"/>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37360" cy="51879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4991100</wp:posOffset>
          </wp:positionH>
          <wp:positionV relativeFrom="paragraph">
            <wp:posOffset>0</wp:posOffset>
          </wp:positionV>
          <wp:extent cx="1111250" cy="742950"/>
          <wp:effectExtent l="0" t="0" r="0" b="0"/>
          <wp:wrapSquare wrapText="bothSides" distT="0" distB="0" distL="114300" distR="11430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11250" cy="742950"/>
                  </a:xfrm>
                  <a:prstGeom prst="rect">
                    <a:avLst/>
                  </a:prstGeom>
                  <a:ln/>
                </pic:spPr>
              </pic:pic>
            </a:graphicData>
          </a:graphic>
        </wp:anchor>
      </w:drawing>
    </w:r>
  </w:p>
  <w:p>
    <w:pPr>
      <w:pBdr>
        <w:top w:val="nil"/>
        <w:left w:val="nil"/>
        <w:bottom w:val="nil"/>
        <w:right w:val="nil"/>
        <w:between w:val="nil"/>
      </w:pBdr>
      <w:tabs>
        <w:tab w:val="center" w:pos="4153"/>
        <w:tab w:val="right" w:pos="8306"/>
      </w:tabs>
      <w:jc w:val="center"/>
      <w:rPr>
        <w:color w:val="0000FF"/>
      </w:rPr>
    </w:pPr>
    <w:r>
      <w:rPr>
        <w:color w:val="0000FF"/>
      </w:rPr>
      <w:t xml:space="preserve">Caritas Christi </w:t>
    </w:r>
    <w:proofErr w:type="spellStart"/>
    <w:r>
      <w:rPr>
        <w:color w:val="0000FF"/>
      </w:rPr>
      <w:t>Urget</w:t>
    </w:r>
    <w:proofErr w:type="spellEnd"/>
    <w:r>
      <w:rPr>
        <w:color w:val="0000FF"/>
      </w:rPr>
      <w:t xml:space="preserve"> Nos</w:t>
    </w:r>
  </w:p>
  <w:p>
    <w:pPr>
      <w:pBdr>
        <w:top w:val="nil"/>
        <w:left w:val="nil"/>
        <w:bottom w:val="nil"/>
        <w:right w:val="nil"/>
        <w:between w:val="nil"/>
      </w:pBdr>
      <w:tabs>
        <w:tab w:val="center" w:pos="4153"/>
        <w:tab w:val="right" w:pos="8306"/>
      </w:tabs>
      <w:jc w:val="center"/>
      <w:rPr>
        <w:color w:val="0000FF"/>
      </w:rPr>
    </w:pPr>
    <w:r>
      <w:rPr>
        <w:color w:val="0000FF"/>
      </w:rPr>
      <w:t>‘The love of Christ spurs us on’</w:t>
    </w:r>
  </w:p>
  <w:p>
    <w:pPr>
      <w:pBdr>
        <w:top w:val="nil"/>
        <w:left w:val="nil"/>
        <w:bottom w:val="nil"/>
        <w:right w:val="nil"/>
        <w:between w:val="nil"/>
      </w:pBdr>
      <w:tabs>
        <w:tab w:val="center" w:pos="4153"/>
        <w:tab w:val="right" w:pos="8306"/>
      </w:tabs>
      <w:rPr>
        <w:color w:val="000000"/>
      </w:rPr>
    </w:pPr>
    <w:r>
      <w:rPr>
        <w:noProof/>
        <w:color w:val="000000"/>
      </w:rPr>
      <mc:AlternateContent>
        <mc:Choice Requires="wpg">
          <w:drawing>
            <wp:inline distT="0" distB="0" distL="0" distR="0">
              <wp:extent cx="321310" cy="321310"/>
              <wp:effectExtent l="0" t="0" r="0" b="0"/>
              <wp:docPr id="36" name="" descr="https://i2.wp.com/www.stjosephs.uk.net/wp-content/uploads/2019/05/image001.png"/>
              <wp:cNvGraphicFramePr/>
              <a:graphic xmlns:a="http://schemas.openxmlformats.org/drawingml/2006/main">
                <a:graphicData uri="http://schemas.microsoft.com/office/word/2010/wordprocessingShape">
                  <wps:wsp>
                    <wps:cNvSpPr/>
                    <wps:spPr>
                      <a:xfrm>
                        <a:off x="5194870" y="3628870"/>
                        <a:ext cx="302260" cy="302260"/>
                      </a:xfrm>
                      <a:prstGeom prst="rect">
                        <a:avLst/>
                      </a:prstGeom>
                      <a:noFill/>
                      <a:ln>
                        <a:noFill/>
                      </a:ln>
                    </wps:spPr>
                    <wps:txbx>
                      <w:txbxContent>
                        <w:p>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21310" cy="321310"/>
              <wp:effectExtent b="0" l="0" r="0" t="0"/>
              <wp:docPr descr="https://i2.wp.com/www.stjosephs.uk.net/wp-content/uploads/2019/05/image001.png" id="36" name="image5.png"/>
              <a:graphic>
                <a:graphicData uri="http://schemas.openxmlformats.org/drawingml/2006/picture">
                  <pic:pic>
                    <pic:nvPicPr>
                      <pic:cNvPr descr="https://i2.wp.com/www.stjosephs.uk.net/wp-content/uploads/2019/05/image001.png" id="0" name="image5.png"/>
                      <pic:cNvPicPr preferRelativeResize="0"/>
                    </pic:nvPicPr>
                    <pic:blipFill>
                      <a:blip r:embed="rId3"/>
                      <a:srcRect/>
                      <a:stretch>
                        <a:fillRect/>
                      </a:stretch>
                    </pic:blipFill>
                    <pic:spPr>
                      <a:xfrm>
                        <a:off x="0" y="0"/>
                        <a:ext cx="321310" cy="321310"/>
                      </a:xfrm>
                      <a:prstGeom prst="rect"/>
                      <a:ln/>
                    </pic:spPr>
                  </pic:pic>
                </a:graphicData>
              </a:graphic>
            </wp:inline>
          </w:drawing>
        </mc:Fallback>
      </mc:AlternateContent>
    </w:r>
    <w:r>
      <w:rPr>
        <w:color w:val="000000"/>
      </w:rPr>
      <w:t xml:space="preserve"> </w:t>
    </w:r>
    <w:r>
      <w:rPr>
        <w:noProof/>
        <w:color w:val="000000"/>
      </w:rPr>
      <mc:AlternateContent>
        <mc:Choice Requires="wpg">
          <w:drawing>
            <wp:inline distT="0" distB="0" distL="0" distR="0">
              <wp:extent cx="321310" cy="321310"/>
              <wp:effectExtent l="0" t="0" r="0" b="0"/>
              <wp:docPr id="38" name="" descr="https://i1.wp.com/www.stjosephs.uk.net/wp-content/uploads/2019/05/image0011.png?fit=351%2C350"/>
              <wp:cNvGraphicFramePr/>
              <a:graphic xmlns:a="http://schemas.openxmlformats.org/drawingml/2006/main">
                <a:graphicData uri="http://schemas.microsoft.com/office/word/2010/wordprocessingShape">
                  <wps:wsp>
                    <wps:cNvSpPr/>
                    <wps:spPr>
                      <a:xfrm>
                        <a:off x="5194870" y="3628870"/>
                        <a:ext cx="302260" cy="302260"/>
                      </a:xfrm>
                      <a:prstGeom prst="rect">
                        <a:avLst/>
                      </a:prstGeom>
                      <a:noFill/>
                      <a:ln>
                        <a:noFill/>
                      </a:ln>
                    </wps:spPr>
                    <wps:txbx>
                      <w:txbxContent>
                        <w:p>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21310" cy="321310"/>
              <wp:effectExtent b="0" l="0" r="0" t="0"/>
              <wp:docPr descr="https://i1.wp.com/www.stjosephs.uk.net/wp-content/uploads/2019/05/image0011.png?fit=351%2C350" id="38" name="image7.png"/>
              <a:graphic>
                <a:graphicData uri="http://schemas.openxmlformats.org/drawingml/2006/picture">
                  <pic:pic>
                    <pic:nvPicPr>
                      <pic:cNvPr descr="https://i1.wp.com/www.stjosephs.uk.net/wp-content/uploads/2019/05/image0011.png?fit=351%2C350" id="0" name="image7.png"/>
                      <pic:cNvPicPr preferRelativeResize="0"/>
                    </pic:nvPicPr>
                    <pic:blipFill>
                      <a:blip r:embed="rId4"/>
                      <a:srcRect/>
                      <a:stretch>
                        <a:fillRect/>
                      </a:stretch>
                    </pic:blipFill>
                    <pic:spPr>
                      <a:xfrm>
                        <a:off x="0" y="0"/>
                        <a:ext cx="321310" cy="321310"/>
                      </a:xfrm>
                      <a:prstGeom prst="rect"/>
                      <a:ln/>
                    </pic:spPr>
                  </pic:pic>
                </a:graphicData>
              </a:graphic>
            </wp:inline>
          </w:drawing>
        </mc:Fallback>
      </mc:AlternateContent>
    </w:r>
    <w:r>
      <w:rPr>
        <w:noProof/>
        <w:color w:val="000000"/>
      </w:rPr>
      <mc:AlternateContent>
        <mc:Choice Requires="wpg">
          <w:drawing>
            <wp:inline distT="0" distB="0" distL="0" distR="0">
              <wp:extent cx="321310" cy="321310"/>
              <wp:effectExtent l="0" t="0" r="0" b="0"/>
              <wp:docPr id="37" name="" descr="https://i2.wp.com/www.stjosephs.uk.net/wp-content/uploads/2019/05/image001.png"/>
              <wp:cNvGraphicFramePr/>
              <a:graphic xmlns:a="http://schemas.openxmlformats.org/drawingml/2006/main">
                <a:graphicData uri="http://schemas.microsoft.com/office/word/2010/wordprocessingShape">
                  <wps:wsp>
                    <wps:cNvSpPr/>
                    <wps:spPr>
                      <a:xfrm>
                        <a:off x="5194870" y="3628870"/>
                        <a:ext cx="302260" cy="302260"/>
                      </a:xfrm>
                      <a:prstGeom prst="rect">
                        <a:avLst/>
                      </a:prstGeom>
                      <a:noFill/>
                      <a:ln>
                        <a:noFill/>
                      </a:ln>
                    </wps:spPr>
                    <wps:txbx>
                      <w:txbxContent>
                        <w:p>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21310" cy="321310"/>
              <wp:effectExtent b="0" l="0" r="0" t="0"/>
              <wp:docPr descr="https://i2.wp.com/www.stjosephs.uk.net/wp-content/uploads/2019/05/image001.png" id="37" name="image6.png"/>
              <a:graphic>
                <a:graphicData uri="http://schemas.openxmlformats.org/drawingml/2006/picture">
                  <pic:pic>
                    <pic:nvPicPr>
                      <pic:cNvPr descr="https://i2.wp.com/www.stjosephs.uk.net/wp-content/uploads/2019/05/image001.png" id="0" name="image6.png"/>
                      <pic:cNvPicPr preferRelativeResize="0"/>
                    </pic:nvPicPr>
                    <pic:blipFill>
                      <a:blip r:embed="rId5"/>
                      <a:srcRect/>
                      <a:stretch>
                        <a:fillRect/>
                      </a:stretch>
                    </pic:blipFill>
                    <pic:spPr>
                      <a:xfrm>
                        <a:off x="0" y="0"/>
                        <a:ext cx="321310" cy="321310"/>
                      </a:xfrm>
                      <a:prstGeom prst="rect"/>
                      <a:ln/>
                    </pic:spPr>
                  </pic:pic>
                </a:graphicData>
              </a:graphic>
            </wp:inline>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simplePos x="0" y="0"/>
          <wp:positionH relativeFrom="column">
            <wp:posOffset>4772025</wp:posOffset>
          </wp:positionH>
          <wp:positionV relativeFrom="paragraph">
            <wp:posOffset>-280986</wp:posOffset>
          </wp:positionV>
          <wp:extent cx="1733550" cy="1642311"/>
          <wp:effectExtent l="0" t="0" r="0" b="0"/>
          <wp:wrapSquare wrapText="bothSides" distT="0" distB="0" distL="0" distR="0"/>
          <wp:docPr id="39" name="image1.jpg" descr="New Badge 08 256a"/>
          <wp:cNvGraphicFramePr/>
          <a:graphic xmlns:a="http://schemas.openxmlformats.org/drawingml/2006/main">
            <a:graphicData uri="http://schemas.openxmlformats.org/drawingml/2006/picture">
              <pic:pic xmlns:pic="http://schemas.openxmlformats.org/drawingml/2006/picture">
                <pic:nvPicPr>
                  <pic:cNvPr id="0" name="image1.jpg" descr="New Badge 08 256a"/>
                  <pic:cNvPicPr preferRelativeResize="0"/>
                </pic:nvPicPr>
                <pic:blipFill>
                  <a:blip r:embed="rId1"/>
                  <a:srcRect/>
                  <a:stretch>
                    <a:fillRect/>
                  </a:stretch>
                </pic:blipFill>
                <pic:spPr>
                  <a:xfrm>
                    <a:off x="0" y="0"/>
                    <a:ext cx="1733550" cy="1642311"/>
                  </a:xfrm>
                  <a:prstGeom prst="rect">
                    <a:avLst/>
                  </a:prstGeom>
                  <a:ln/>
                </pic:spPr>
              </pic:pic>
            </a:graphicData>
          </a:graphic>
        </wp:anchor>
      </w:drawing>
    </w:r>
    <w:r>
      <w:rPr>
        <w:noProof/>
      </w:rPr>
      <mc:AlternateContent>
        <mc:Choice Requires="wpg">
          <w:drawing>
            <wp:anchor distT="0" distB="0" distL="0" distR="0" simplePos="0" relativeHeight="251659264" behindDoc="0" locked="0" layoutInCell="1" hidden="0" allowOverlap="1">
              <wp:simplePos x="0" y="0"/>
              <wp:positionH relativeFrom="column">
                <wp:posOffset>-342899</wp:posOffset>
              </wp:positionH>
              <wp:positionV relativeFrom="paragraph">
                <wp:posOffset>-368299</wp:posOffset>
              </wp:positionV>
              <wp:extent cx="5038725" cy="2019300"/>
              <wp:effectExtent l="0" t="0" r="0" b="0"/>
              <wp:wrapSquare wrapText="bothSides" distT="0" distB="0" distL="0" distR="0"/>
              <wp:docPr id="35" name=""/>
              <wp:cNvGraphicFramePr/>
              <a:graphic xmlns:a="http://schemas.openxmlformats.org/drawingml/2006/main">
                <a:graphicData uri="http://schemas.microsoft.com/office/word/2010/wordprocessingShape">
                  <wps:wsp>
                    <wps:cNvSpPr/>
                    <wps:spPr>
                      <a:xfrm>
                        <a:off x="2831400" y="2775113"/>
                        <a:ext cx="5029200" cy="2009775"/>
                      </a:xfrm>
                      <a:prstGeom prst="rect">
                        <a:avLst/>
                      </a:prstGeom>
                      <a:noFill/>
                      <a:ln>
                        <a:noFill/>
                      </a:ln>
                    </wps:spPr>
                    <wps:txbx>
                      <w:txbxContent>
                        <w:p>
                          <w:pPr>
                            <w:spacing w:line="720" w:lineRule="auto"/>
                            <w:jc w:val="center"/>
                            <w:textDirection w:val="btLr"/>
                          </w:pPr>
                          <w:r>
                            <w:rPr>
                              <w:b/>
                              <w:color w:val="0000FF"/>
                              <w:sz w:val="40"/>
                            </w:rPr>
                            <w:t>St Joseph's Catholic Academy</w:t>
                          </w:r>
                        </w:p>
                        <w:p>
                          <w:pPr>
                            <w:jc w:val="center"/>
                            <w:textDirection w:val="btLr"/>
                          </w:pPr>
                          <w:r>
                            <w:rPr>
                              <w:color w:val="0000FF"/>
                              <w:sz w:val="27"/>
                            </w:rPr>
                            <w:t xml:space="preserve">A </w:t>
                          </w:r>
                          <w:proofErr w:type="gramStart"/>
                          <w:r>
                            <w:rPr>
                              <w:color w:val="0000FF"/>
                              <w:sz w:val="27"/>
                            </w:rPr>
                            <w:t>Leading Edge</w:t>
                          </w:r>
                          <w:proofErr w:type="gramEnd"/>
                          <w:r>
                            <w:rPr>
                              <w:color w:val="0000FF"/>
                              <w:sz w:val="27"/>
                            </w:rPr>
                            <w:t xml:space="preserve"> Technology &amp; Applied Learning College</w:t>
                          </w:r>
                        </w:p>
                        <w:p>
                          <w:pPr>
                            <w:jc w:val="center"/>
                            <w:textDirection w:val="btLr"/>
                          </w:pPr>
                          <w:r>
                            <w:rPr>
                              <w:color w:val="0000FF"/>
                              <w:sz w:val="20"/>
                            </w:rPr>
                            <w:t xml:space="preserve">Mill Lane, </w:t>
                          </w:r>
                          <w:proofErr w:type="spellStart"/>
                          <w:r>
                            <w:rPr>
                              <w:color w:val="0000FF"/>
                              <w:sz w:val="20"/>
                            </w:rPr>
                            <w:t>Hebburn</w:t>
                          </w:r>
                          <w:proofErr w:type="spellEnd"/>
                          <w:r>
                            <w:rPr>
                              <w:color w:val="0000FF"/>
                              <w:sz w:val="20"/>
                            </w:rPr>
                            <w:t>, Tyne and Wear, NE31 2ET</w:t>
                          </w:r>
                        </w:p>
                        <w:p>
                          <w:pPr>
                            <w:jc w:val="center"/>
                            <w:textDirection w:val="btLr"/>
                          </w:pPr>
                          <w:r>
                            <w:rPr>
                              <w:color w:val="0000FF"/>
                              <w:sz w:val="20"/>
                            </w:rPr>
                            <w:t>Telephone: 0191 428 2700</w:t>
                          </w:r>
                        </w:p>
                        <w:p>
                          <w:pPr>
                            <w:textDirection w:val="btLr"/>
                          </w:pPr>
                        </w:p>
                        <w:p>
                          <w:pPr>
                            <w:ind w:left="180" w:right="75" w:firstLine="180"/>
                            <w:textDirection w:val="btLr"/>
                          </w:pPr>
                          <w:r>
                            <w:rPr>
                              <w:color w:val="0000FF"/>
                              <w:sz w:val="18"/>
                            </w:rPr>
                            <w:t>Email: Office@stjosephs.uk.net</w:t>
                          </w:r>
                          <w:r>
                            <w:rPr>
                              <w:color w:val="0000FF"/>
                              <w:sz w:val="18"/>
                            </w:rPr>
                            <w:tab/>
                          </w:r>
                          <w:r>
                            <w:rPr>
                              <w:color w:val="0000FF"/>
                              <w:sz w:val="18"/>
                            </w:rPr>
                            <w:tab/>
                          </w:r>
                          <w:r>
                            <w:rPr>
                              <w:b/>
                              <w:color w:val="0000FF"/>
                              <w:sz w:val="18"/>
                            </w:rPr>
                            <w:t>Headteacher: Mr P Mitchell</w:t>
                          </w:r>
                        </w:p>
                        <w:p>
                          <w:pPr>
                            <w:ind w:left="180" w:right="75" w:firstLine="180"/>
                            <w:textDirection w:val="btLr"/>
                          </w:pPr>
                          <w:r>
                            <w:rPr>
                              <w:color w:val="0000FF"/>
                              <w:sz w:val="18"/>
                            </w:rPr>
                            <w:t>Web: www.stjosephs.uk.net</w:t>
                          </w:r>
                          <w:r>
                            <w:rPr>
                              <w:color w:val="0000FF"/>
                              <w:sz w:val="18"/>
                            </w:rPr>
                            <w:tab/>
                          </w:r>
                          <w:r>
                            <w:rPr>
                              <w:color w:val="0000FF"/>
                              <w:sz w:val="18"/>
                            </w:rPr>
                            <w:tab/>
                          </w:r>
                          <w:r>
                            <w:rPr>
                              <w:color w:val="0000FF"/>
                              <w:sz w:val="20"/>
                            </w:rPr>
                            <w:t xml:space="preserve">Chair of Governors: Mrs G Kilgour </w:t>
                          </w:r>
                        </w:p>
                        <w:p>
                          <w:pPr>
                            <w:ind w:left="180" w:right="75" w:firstLine="180"/>
                            <w:textDirection w:val="btLr"/>
                          </w:pPr>
                          <w:r>
                            <w:rPr>
                              <w:color w:val="0000FF"/>
                              <w:sz w:val="18"/>
                            </w:rPr>
                            <w:t>Fax: 0191 428 4053</w:t>
                          </w:r>
                          <w:r>
                            <w:rPr>
                              <w:color w:val="0070C0"/>
                              <w:sz w:val="18"/>
                            </w:rPr>
                            <w:tab/>
                          </w:r>
                          <w:r>
                            <w:rPr>
                              <w:color w:val="0000FF"/>
                              <w:sz w:val="18"/>
                            </w:rPr>
                            <w:tab/>
                          </w:r>
                        </w:p>
                        <w:p>
                          <w:pPr>
                            <w:ind w:left="180" w:right="75" w:firstLine="180"/>
                            <w:textDirection w:val="btLr"/>
                          </w:pPr>
                        </w:p>
                        <w:p>
                          <w:pPr>
                            <w:ind w:left="180" w:right="75" w:firstLine="180"/>
                            <w:textDirection w:val="btLr"/>
                          </w:pPr>
                        </w:p>
                        <w:p>
                          <w:pPr>
                            <w:ind w:left="180" w:right="75" w:firstLine="18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-342899</wp:posOffset>
              </wp:positionH>
              <wp:positionV relativeFrom="paragraph">
                <wp:posOffset>-368299</wp:posOffset>
              </wp:positionV>
              <wp:extent cx="5038725" cy="2019300"/>
              <wp:effectExtent b="0" l="0" r="0" t="0"/>
              <wp:wrapSquare wrapText="bothSides" distB="0" distT="0" distL="0" distR="0"/>
              <wp:docPr id="3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038725" cy="2019300"/>
                      </a:xfrm>
                      <a:prstGeom prst="rect"/>
                      <a:ln/>
                    </pic:spPr>
                  </pic:pic>
                </a:graphicData>
              </a:graphic>
            </wp:anchor>
          </w:drawing>
        </mc:Fallback>
      </mc:AlternateContent>
    </w:r>
  </w:p>
  <w:p>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A2BDC"/>
    <w:multiLevelType w:val="multilevel"/>
    <w:tmpl w:val="8D3CA8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0772B8"/>
    <w:multiLevelType w:val="multilevel"/>
    <w:tmpl w:val="91D8AA6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99AAA-2746-4A61-9172-2F69BFA3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widowControl w:val="0"/>
      <w:ind w:left="1944"/>
      <w:jc w:val="center"/>
      <w:outlineLvl w:val="0"/>
    </w:pPr>
    <w:rPr>
      <w:i/>
      <w:color w:val="000000"/>
      <w:spacing w:val="5"/>
      <w:sz w:val="22"/>
      <w:szCs w:val="20"/>
    </w:rPr>
  </w:style>
  <w:style w:type="paragraph" w:styleId="Heading2">
    <w:name w:val="heading 2"/>
    <w:basedOn w:val="Normal"/>
    <w:next w:val="Normal"/>
    <w:uiPriority w:val="9"/>
    <w:semiHidden/>
    <w:unhideWhenUsed/>
    <w:qFormat/>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Style1">
    <w:name w:val="Style 1"/>
    <w:basedOn w:val="Normal"/>
    <w:pPr>
      <w:widowControl w:val="0"/>
      <w:spacing w:after="108"/>
      <w:jc w:val="center"/>
    </w:pPr>
    <w:rPr>
      <w:noProof/>
      <w:color w:val="000000"/>
      <w:sz w:val="20"/>
      <w:szCs w:val="20"/>
    </w:r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rPr>
      <w:rFonts w:ascii="Arial" w:hAnsi="Arial" w:cs="Arial"/>
      <w:sz w:val="24"/>
      <w:szCs w:val="24"/>
      <w:lan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jcq.org.uk/wp-content/uploads/2021/06/JCQ_Appeals-Guidance_Summer-2021_Appendix-B.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stewart@stjosephs.uk.net" TargetMode="External"/><Relationship Id="rId4" Type="http://schemas.openxmlformats.org/officeDocument/2006/relationships/settings" Target="settings.xml"/><Relationship Id="rId9" Type="http://schemas.openxmlformats.org/officeDocument/2006/relationships/hyperlink" Target="mailto:gstewart@stjosephs.uk.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6.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YTQ/32CKsrdkrA9ler+5PNfiZg==">AMUW2mURrcNJpq5P964THI2J9xFr0t6gQAzdtNrWW6FFP39/VR7hk+oN2AwC4qzVudiig7w4dXNGzC1AHrVclplO/eBn/ko3KOM4HhNnvrDjsDm56/rVkXOuCl5ckL1CiKkEPBc024DU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 McGuinness</cp:lastModifiedBy>
  <cp:revision>2</cp:revision>
  <dcterms:created xsi:type="dcterms:W3CDTF">2021-06-25T12:33:00Z</dcterms:created>
  <dcterms:modified xsi:type="dcterms:W3CDTF">2021-06-25T12:33:00Z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